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5A52" w14:textId="4F1C0A9A" w:rsidR="00313013" w:rsidRPr="00E8122D" w:rsidRDefault="00313013">
      <w:pPr>
        <w:rPr>
          <w:rFonts w:cstheme="minorHAnsi"/>
          <w:b/>
        </w:rPr>
      </w:pPr>
      <w:r w:rsidRPr="00E8122D">
        <w:rPr>
          <w:rFonts w:cstheme="minorHAnsi"/>
          <w:b/>
        </w:rPr>
        <w:t>Version date 0</w:t>
      </w:r>
      <w:r w:rsidR="002472D0">
        <w:rPr>
          <w:rFonts w:cstheme="minorHAnsi"/>
          <w:b/>
        </w:rPr>
        <w:t>8</w:t>
      </w:r>
      <w:r w:rsidRPr="00E8122D">
        <w:rPr>
          <w:rFonts w:cstheme="minorHAnsi"/>
          <w:b/>
        </w:rPr>
        <w:t>/0</w:t>
      </w:r>
      <w:r w:rsidR="002472D0">
        <w:rPr>
          <w:rFonts w:cstheme="minorHAnsi"/>
          <w:b/>
        </w:rPr>
        <w:t>4</w:t>
      </w:r>
      <w:bookmarkStart w:id="0" w:name="_GoBack"/>
      <w:bookmarkEnd w:id="0"/>
      <w:r w:rsidRPr="00E8122D">
        <w:rPr>
          <w:rFonts w:cstheme="minorHAnsi"/>
          <w:b/>
        </w:rPr>
        <w:t>/2020</w:t>
      </w:r>
    </w:p>
    <w:p w14:paraId="559FBD33" w14:textId="77777777" w:rsidR="00313013" w:rsidRPr="00E8122D" w:rsidRDefault="00313013">
      <w:pPr>
        <w:rPr>
          <w:rFonts w:cstheme="minorHAnsi"/>
          <w:b/>
        </w:rPr>
      </w:pPr>
    </w:p>
    <w:p w14:paraId="6C2A3D51" w14:textId="77777777" w:rsidR="00313013" w:rsidRPr="00E8122D" w:rsidRDefault="00313013">
      <w:pPr>
        <w:rPr>
          <w:rFonts w:cstheme="minorHAnsi"/>
          <w:b/>
        </w:rPr>
      </w:pPr>
      <w:r w:rsidRPr="00E8122D">
        <w:rPr>
          <w:rFonts w:cstheme="minorHAnsi"/>
          <w:noProof/>
          <w:lang w:eastAsia="en-GB"/>
        </w:rPr>
        <w:drawing>
          <wp:inline distT="0" distB="0" distL="0" distR="0" wp14:anchorId="27AB4159" wp14:editId="6FF6CA52">
            <wp:extent cx="1323975" cy="294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linkCAT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0298" cy="302322"/>
                    </a:xfrm>
                    <a:prstGeom prst="rect">
                      <a:avLst/>
                    </a:prstGeom>
                  </pic:spPr>
                </pic:pic>
              </a:graphicData>
            </a:graphic>
          </wp:inline>
        </w:drawing>
      </w:r>
    </w:p>
    <w:p w14:paraId="2B7F4CEE" w14:textId="77777777" w:rsidR="00313013" w:rsidRPr="00E8122D" w:rsidRDefault="00313013">
      <w:pPr>
        <w:rPr>
          <w:rFonts w:cstheme="minorHAnsi"/>
          <w:b/>
        </w:rPr>
      </w:pPr>
    </w:p>
    <w:p w14:paraId="4DB70DB8" w14:textId="77777777" w:rsidR="00313013" w:rsidRPr="00E8122D" w:rsidRDefault="00313013">
      <w:pPr>
        <w:rPr>
          <w:rFonts w:cstheme="minorHAnsi"/>
          <w:b/>
        </w:rPr>
      </w:pPr>
      <w:r w:rsidRPr="00E8122D">
        <w:rPr>
          <w:rFonts w:cstheme="minorHAnsi"/>
          <w:b/>
        </w:rPr>
        <w:t>EUROlinkCAT WP</w:t>
      </w:r>
      <w:proofErr w:type="gramStart"/>
      <w:r w:rsidRPr="00E8122D">
        <w:rPr>
          <w:rFonts w:cstheme="minorHAnsi"/>
          <w:b/>
        </w:rPr>
        <w:t>4 :</w:t>
      </w:r>
      <w:proofErr w:type="gramEnd"/>
      <w:r w:rsidRPr="00E8122D">
        <w:rPr>
          <w:rFonts w:cstheme="minorHAnsi"/>
          <w:b/>
        </w:rPr>
        <w:t xml:space="preserve"> </w:t>
      </w:r>
    </w:p>
    <w:p w14:paraId="02961BB9" w14:textId="77777777" w:rsidR="00313013" w:rsidRPr="00E8122D" w:rsidRDefault="00313013">
      <w:pPr>
        <w:rPr>
          <w:rFonts w:cstheme="minorHAnsi"/>
          <w:b/>
        </w:rPr>
      </w:pPr>
      <w:r w:rsidRPr="00E8122D">
        <w:rPr>
          <w:rFonts w:cstheme="minorHAnsi"/>
          <w:b/>
        </w:rPr>
        <w:t xml:space="preserve">Costs associated with hospital stays for children with congenital anomalies up to the age of 5 </w:t>
      </w:r>
    </w:p>
    <w:p w14:paraId="53B22D72" w14:textId="77777777" w:rsidR="00313013" w:rsidRPr="00E8122D" w:rsidRDefault="00313013">
      <w:pPr>
        <w:rPr>
          <w:rFonts w:cstheme="minorHAnsi"/>
          <w:b/>
        </w:rPr>
      </w:pPr>
      <w:r w:rsidRPr="00E8122D">
        <w:rPr>
          <w:rFonts w:cstheme="minorHAnsi"/>
          <w:b/>
        </w:rPr>
        <w:t>Statistical Analysis Plan</w:t>
      </w:r>
    </w:p>
    <w:p w14:paraId="758652D1" w14:textId="77777777" w:rsidR="000E5C63" w:rsidRPr="00E8122D" w:rsidRDefault="000E5C63">
      <w:pPr>
        <w:rPr>
          <w:rFonts w:cstheme="minorHAnsi"/>
          <w:b/>
        </w:rPr>
      </w:pPr>
    </w:p>
    <w:p w14:paraId="3D241C0E" w14:textId="77777777" w:rsidR="00313013" w:rsidRPr="00E8122D" w:rsidRDefault="00313013">
      <w:pPr>
        <w:rPr>
          <w:rFonts w:cstheme="minorHAnsi"/>
          <w:b/>
        </w:rPr>
      </w:pPr>
      <w:r w:rsidRPr="00E8122D">
        <w:rPr>
          <w:rFonts w:cstheme="minorHAnsi"/>
          <w:b/>
        </w:rPr>
        <w:t>WP4 leads: Ester Garne, Maria Loane</w:t>
      </w:r>
    </w:p>
    <w:p w14:paraId="2D550FF1" w14:textId="77777777" w:rsidR="00313013" w:rsidRPr="00E8122D" w:rsidRDefault="00313013">
      <w:pPr>
        <w:rPr>
          <w:rFonts w:cstheme="minorHAnsi"/>
        </w:rPr>
      </w:pPr>
      <w:proofErr w:type="gramStart"/>
      <w:r w:rsidRPr="00E8122D">
        <w:rPr>
          <w:rFonts w:cstheme="minorHAnsi"/>
          <w:b/>
        </w:rPr>
        <w:t xml:space="preserve">Researchers </w:t>
      </w:r>
      <w:r w:rsidRPr="00E8122D">
        <w:rPr>
          <w:rFonts w:cstheme="minorHAnsi"/>
        </w:rPr>
        <w:t>:</w:t>
      </w:r>
      <w:proofErr w:type="gramEnd"/>
      <w:r w:rsidRPr="00E8122D">
        <w:rPr>
          <w:rFonts w:cstheme="minorHAnsi"/>
        </w:rPr>
        <w:t xml:space="preserve"> Joan Morris, Maria Loane</w:t>
      </w:r>
    </w:p>
    <w:p w14:paraId="335155A3" w14:textId="77777777" w:rsidR="00313013" w:rsidRPr="008F12AD" w:rsidRDefault="00313013" w:rsidP="00313013">
      <w:pPr>
        <w:spacing w:line="240" w:lineRule="auto"/>
        <w:rPr>
          <w:rFonts w:cstheme="minorHAnsi"/>
          <w:lang w:val="en-US"/>
        </w:rPr>
      </w:pPr>
      <w:r w:rsidRPr="008F12AD">
        <w:rPr>
          <w:rFonts w:cstheme="minorHAnsi"/>
          <w:lang w:val="en-US"/>
        </w:rPr>
        <w:t>In collaboration with WP2 team</w:t>
      </w:r>
    </w:p>
    <w:p w14:paraId="524F13D3" w14:textId="77777777" w:rsidR="00313013" w:rsidRPr="008F12AD" w:rsidRDefault="00313013" w:rsidP="00313013">
      <w:pPr>
        <w:spacing w:line="240" w:lineRule="auto"/>
        <w:rPr>
          <w:rFonts w:cstheme="minorHAnsi"/>
        </w:rPr>
      </w:pPr>
      <w:r w:rsidRPr="008F12AD">
        <w:rPr>
          <w:rFonts w:cstheme="minorHAnsi"/>
          <w:b/>
          <w:lang w:val="en-US"/>
        </w:rPr>
        <w:t>WP2 lead:</w:t>
      </w:r>
      <w:r w:rsidRPr="008F12AD">
        <w:rPr>
          <w:rFonts w:cstheme="minorHAnsi"/>
          <w:lang w:val="en-US"/>
        </w:rPr>
        <w:t xml:space="preserve"> Maria Loane (</w:t>
      </w:r>
      <w:r w:rsidRPr="008F12AD">
        <w:rPr>
          <w:rFonts w:cstheme="minorHAnsi"/>
        </w:rPr>
        <w:t>Ulster University, UU), J</w:t>
      </w:r>
      <w:r w:rsidRPr="008F12AD">
        <w:rPr>
          <w:rFonts w:cstheme="minorHAnsi"/>
          <w:spacing w:val="-3"/>
        </w:rPr>
        <w:t>a</w:t>
      </w:r>
      <w:r w:rsidRPr="008F12AD">
        <w:rPr>
          <w:rFonts w:cstheme="minorHAnsi"/>
        </w:rPr>
        <w:t>mes</w:t>
      </w:r>
      <w:r w:rsidRPr="008F12AD">
        <w:rPr>
          <w:rFonts w:cstheme="minorHAnsi"/>
          <w:spacing w:val="-2"/>
        </w:rPr>
        <w:t xml:space="preserve"> </w:t>
      </w:r>
      <w:r w:rsidRPr="008F12AD">
        <w:rPr>
          <w:rFonts w:cstheme="minorHAnsi"/>
        </w:rPr>
        <w:t>Dens</w:t>
      </w:r>
      <w:r w:rsidRPr="008F12AD">
        <w:rPr>
          <w:rFonts w:cstheme="minorHAnsi"/>
          <w:spacing w:val="-3"/>
        </w:rPr>
        <w:t>e</w:t>
      </w:r>
      <w:r w:rsidRPr="008F12AD">
        <w:rPr>
          <w:rFonts w:cstheme="minorHAnsi"/>
        </w:rPr>
        <w:t>m (BI</w:t>
      </w:r>
      <w:r w:rsidRPr="008F12AD">
        <w:rPr>
          <w:rFonts w:cstheme="minorHAnsi"/>
          <w:spacing w:val="-3"/>
        </w:rPr>
        <w:t>O</w:t>
      </w:r>
      <w:r w:rsidRPr="008F12AD">
        <w:rPr>
          <w:rFonts w:cstheme="minorHAnsi"/>
        </w:rPr>
        <w:t>M</w:t>
      </w:r>
      <w:r w:rsidRPr="008F12AD">
        <w:rPr>
          <w:rFonts w:cstheme="minorHAnsi"/>
          <w:spacing w:val="-3"/>
        </w:rPr>
        <w:t>E</w:t>
      </w:r>
      <w:r w:rsidRPr="008F12AD">
        <w:rPr>
          <w:rFonts w:cstheme="minorHAnsi"/>
        </w:rPr>
        <w:t>D</w:t>
      </w:r>
      <w:r w:rsidRPr="008F12AD">
        <w:rPr>
          <w:rFonts w:cstheme="minorHAnsi"/>
          <w:spacing w:val="-3"/>
        </w:rPr>
        <w:t>i</w:t>
      </w:r>
      <w:r w:rsidRPr="008F12AD">
        <w:rPr>
          <w:rFonts w:cstheme="minorHAnsi"/>
        </w:rPr>
        <w:t>cal C</w:t>
      </w:r>
      <w:r w:rsidRPr="008F12AD">
        <w:rPr>
          <w:rFonts w:cstheme="minorHAnsi"/>
          <w:spacing w:val="-2"/>
        </w:rPr>
        <w:t>o</w:t>
      </w:r>
      <w:r w:rsidRPr="008F12AD">
        <w:rPr>
          <w:rFonts w:cstheme="minorHAnsi"/>
        </w:rPr>
        <w:t>m</w:t>
      </w:r>
      <w:r w:rsidRPr="008F12AD">
        <w:rPr>
          <w:rFonts w:cstheme="minorHAnsi"/>
          <w:spacing w:val="-1"/>
        </w:rPr>
        <w:t>pu</w:t>
      </w:r>
      <w:r w:rsidRPr="008F12AD">
        <w:rPr>
          <w:rFonts w:cstheme="minorHAnsi"/>
        </w:rPr>
        <w:t>ti</w:t>
      </w:r>
      <w:r w:rsidRPr="008F12AD">
        <w:rPr>
          <w:rFonts w:cstheme="minorHAnsi"/>
          <w:spacing w:val="-1"/>
        </w:rPr>
        <w:t>n</w:t>
      </w:r>
      <w:r w:rsidRPr="008F12AD">
        <w:rPr>
          <w:rFonts w:cstheme="minorHAnsi"/>
        </w:rPr>
        <w:t>g</w:t>
      </w:r>
      <w:r w:rsidRPr="008F12AD">
        <w:rPr>
          <w:rFonts w:cstheme="minorHAnsi"/>
          <w:spacing w:val="-1"/>
        </w:rPr>
        <w:t xml:space="preserve"> </w:t>
      </w:r>
      <w:r w:rsidRPr="008F12AD">
        <w:rPr>
          <w:rFonts w:cstheme="minorHAnsi"/>
          <w:spacing w:val="-2"/>
        </w:rPr>
        <w:t>L</w:t>
      </w:r>
      <w:r w:rsidRPr="008F12AD">
        <w:rPr>
          <w:rFonts w:cstheme="minorHAnsi"/>
        </w:rPr>
        <w:t>td), Joachim Tan (Queen Mary University of London (</w:t>
      </w:r>
      <w:r w:rsidRPr="008F12AD">
        <w:rPr>
          <w:rFonts w:cstheme="minorHAnsi"/>
          <w:spacing w:val="-2"/>
        </w:rPr>
        <w:t>Q</w:t>
      </w:r>
      <w:r w:rsidRPr="008F12AD">
        <w:rPr>
          <w:rFonts w:cstheme="minorHAnsi"/>
        </w:rPr>
        <w:t>MUL))</w:t>
      </w:r>
    </w:p>
    <w:p w14:paraId="3EB855AD" w14:textId="77777777" w:rsidR="00313013" w:rsidRPr="008F12AD" w:rsidRDefault="00313013" w:rsidP="00313013">
      <w:pPr>
        <w:spacing w:line="240" w:lineRule="auto"/>
        <w:rPr>
          <w:rFonts w:cstheme="minorHAnsi"/>
        </w:rPr>
      </w:pPr>
      <w:r w:rsidRPr="008F12AD">
        <w:rPr>
          <w:rFonts w:cstheme="minorHAnsi"/>
        </w:rPr>
        <w:t>Stati</w:t>
      </w:r>
      <w:r w:rsidRPr="008F12AD">
        <w:rPr>
          <w:rFonts w:cstheme="minorHAnsi"/>
          <w:spacing w:val="-2"/>
        </w:rPr>
        <w:t>s</w:t>
      </w:r>
      <w:r w:rsidRPr="008F12AD">
        <w:rPr>
          <w:rFonts w:cstheme="minorHAnsi"/>
        </w:rPr>
        <w:t>tical ex</w:t>
      </w:r>
      <w:r w:rsidRPr="008F12AD">
        <w:rPr>
          <w:rFonts w:cstheme="minorHAnsi"/>
          <w:spacing w:val="-1"/>
        </w:rPr>
        <w:t>p</w:t>
      </w:r>
      <w:r w:rsidRPr="008F12AD">
        <w:rPr>
          <w:rFonts w:cstheme="minorHAnsi"/>
        </w:rPr>
        <w:t>erti</w:t>
      </w:r>
      <w:r w:rsidRPr="008F12AD">
        <w:rPr>
          <w:rFonts w:cstheme="minorHAnsi"/>
          <w:spacing w:val="-2"/>
        </w:rPr>
        <w:t>s</w:t>
      </w:r>
      <w:r w:rsidRPr="008F12AD">
        <w:rPr>
          <w:rFonts w:cstheme="minorHAnsi"/>
        </w:rPr>
        <w:t>e a</w:t>
      </w:r>
      <w:r w:rsidRPr="008F12AD">
        <w:rPr>
          <w:rFonts w:cstheme="minorHAnsi"/>
          <w:spacing w:val="-1"/>
        </w:rPr>
        <w:t>n</w:t>
      </w:r>
      <w:r w:rsidRPr="008F12AD">
        <w:rPr>
          <w:rFonts w:cstheme="minorHAnsi"/>
        </w:rPr>
        <w:t>d</w:t>
      </w:r>
      <w:r w:rsidRPr="008F12AD">
        <w:rPr>
          <w:rFonts w:cstheme="minorHAnsi"/>
          <w:spacing w:val="-1"/>
        </w:rPr>
        <w:t xml:space="preserve"> </w:t>
      </w:r>
      <w:r w:rsidRPr="008F12AD">
        <w:rPr>
          <w:rFonts w:cstheme="minorHAnsi"/>
        </w:rPr>
        <w:t>a</w:t>
      </w:r>
      <w:r w:rsidRPr="008F12AD">
        <w:rPr>
          <w:rFonts w:cstheme="minorHAnsi"/>
          <w:spacing w:val="-3"/>
        </w:rPr>
        <w:t>d</w:t>
      </w:r>
      <w:r w:rsidRPr="008F12AD">
        <w:rPr>
          <w:rFonts w:cstheme="minorHAnsi"/>
        </w:rPr>
        <w:t>vice</w:t>
      </w:r>
      <w:r w:rsidRPr="008F12AD">
        <w:rPr>
          <w:rFonts w:cstheme="minorHAnsi"/>
          <w:spacing w:val="-2"/>
        </w:rPr>
        <w:t xml:space="preserve"> will be </w:t>
      </w:r>
      <w:r w:rsidRPr="008F12AD">
        <w:rPr>
          <w:rFonts w:cstheme="minorHAnsi"/>
          <w:spacing w:val="-1"/>
        </w:rPr>
        <w:t>p</w:t>
      </w:r>
      <w:r w:rsidRPr="008F12AD">
        <w:rPr>
          <w:rFonts w:cstheme="minorHAnsi"/>
        </w:rPr>
        <w:t>r</w:t>
      </w:r>
      <w:r w:rsidRPr="008F12AD">
        <w:rPr>
          <w:rFonts w:cstheme="minorHAnsi"/>
          <w:spacing w:val="-2"/>
        </w:rPr>
        <w:t>o</w:t>
      </w:r>
      <w:r w:rsidRPr="008F12AD">
        <w:rPr>
          <w:rFonts w:cstheme="minorHAnsi"/>
        </w:rPr>
        <w:t>v</w:t>
      </w:r>
      <w:r w:rsidRPr="008F12AD">
        <w:rPr>
          <w:rFonts w:cstheme="minorHAnsi"/>
          <w:spacing w:val="1"/>
        </w:rPr>
        <w:t>i</w:t>
      </w:r>
      <w:r w:rsidRPr="008F12AD">
        <w:rPr>
          <w:rFonts w:cstheme="minorHAnsi"/>
          <w:spacing w:val="-1"/>
        </w:rPr>
        <w:t>d</w:t>
      </w:r>
      <w:r w:rsidRPr="008F12AD">
        <w:rPr>
          <w:rFonts w:cstheme="minorHAnsi"/>
        </w:rPr>
        <w:t xml:space="preserve">ed by </w:t>
      </w:r>
      <w:r w:rsidRPr="008F12AD">
        <w:rPr>
          <w:rFonts w:cstheme="minorHAnsi"/>
          <w:spacing w:val="-1"/>
        </w:rPr>
        <w:t>J</w:t>
      </w:r>
      <w:r w:rsidRPr="008F12AD">
        <w:rPr>
          <w:rFonts w:cstheme="minorHAnsi"/>
          <w:spacing w:val="1"/>
        </w:rPr>
        <w:t>o</w:t>
      </w:r>
      <w:r w:rsidRPr="008F12AD">
        <w:rPr>
          <w:rFonts w:cstheme="minorHAnsi"/>
        </w:rPr>
        <w:t>an</w:t>
      </w:r>
      <w:r w:rsidRPr="008F12AD">
        <w:rPr>
          <w:rFonts w:cstheme="minorHAnsi"/>
          <w:spacing w:val="-3"/>
        </w:rPr>
        <w:t xml:space="preserve"> </w:t>
      </w:r>
      <w:r w:rsidRPr="008F12AD">
        <w:rPr>
          <w:rFonts w:cstheme="minorHAnsi"/>
        </w:rPr>
        <w:t>M</w:t>
      </w:r>
      <w:r w:rsidRPr="008F12AD">
        <w:rPr>
          <w:rFonts w:cstheme="minorHAnsi"/>
          <w:spacing w:val="1"/>
        </w:rPr>
        <w:t>o</w:t>
      </w:r>
      <w:r w:rsidRPr="008F12AD">
        <w:rPr>
          <w:rFonts w:cstheme="minorHAnsi"/>
        </w:rPr>
        <w:t>rr</w:t>
      </w:r>
      <w:r w:rsidRPr="008F12AD">
        <w:rPr>
          <w:rFonts w:cstheme="minorHAnsi"/>
          <w:spacing w:val="-1"/>
        </w:rPr>
        <w:t>i</w:t>
      </w:r>
      <w:r w:rsidRPr="008F12AD">
        <w:rPr>
          <w:rFonts w:cstheme="minorHAnsi"/>
          <w:spacing w:val="-3"/>
        </w:rPr>
        <w:t>s</w:t>
      </w:r>
      <w:r w:rsidRPr="008F12AD">
        <w:rPr>
          <w:rFonts w:cstheme="minorHAnsi"/>
        </w:rPr>
        <w:t xml:space="preserve"> (</w:t>
      </w:r>
      <w:r w:rsidRPr="008F12AD">
        <w:rPr>
          <w:rFonts w:cstheme="minorHAnsi"/>
          <w:spacing w:val="-2"/>
        </w:rPr>
        <w:t>Q</w:t>
      </w:r>
      <w:r w:rsidRPr="008F12AD">
        <w:rPr>
          <w:rFonts w:cstheme="minorHAnsi"/>
        </w:rPr>
        <w:t>MUL).</w:t>
      </w:r>
    </w:p>
    <w:p w14:paraId="40BBA763" w14:textId="77777777" w:rsidR="00313013" w:rsidRPr="008F12AD" w:rsidRDefault="00313013" w:rsidP="00313013">
      <w:pPr>
        <w:spacing w:line="240" w:lineRule="auto"/>
        <w:rPr>
          <w:rFonts w:cstheme="minorHAnsi"/>
        </w:rPr>
      </w:pPr>
    </w:p>
    <w:p w14:paraId="2808376A" w14:textId="77777777" w:rsidR="00E8122D" w:rsidRPr="008F12AD" w:rsidRDefault="00342363" w:rsidP="00342363">
      <w:pPr>
        <w:rPr>
          <w:rFonts w:cstheme="minorHAnsi"/>
          <w:b/>
        </w:rPr>
      </w:pPr>
      <w:r w:rsidRPr="008F12AD">
        <w:rPr>
          <w:rFonts w:cstheme="minorHAnsi"/>
          <w:b/>
        </w:rPr>
        <w:t>Aim</w:t>
      </w:r>
    </w:p>
    <w:p w14:paraId="7A115D20" w14:textId="11829AD3" w:rsidR="00342363" w:rsidRPr="008F12AD" w:rsidRDefault="00342363" w:rsidP="00342363">
      <w:pPr>
        <w:rPr>
          <w:rFonts w:cstheme="minorHAnsi"/>
        </w:rPr>
      </w:pPr>
      <w:r w:rsidRPr="008F12AD">
        <w:rPr>
          <w:rFonts w:cstheme="minorHAnsi"/>
        </w:rPr>
        <w:t>To assess costs of inpatient hospital stays and surgeries performed on children in the first five years of their lives</w:t>
      </w:r>
    </w:p>
    <w:p w14:paraId="072E7E81" w14:textId="77777777" w:rsidR="00342363" w:rsidRPr="008F12AD" w:rsidRDefault="00342363" w:rsidP="00342363">
      <w:pPr>
        <w:rPr>
          <w:rFonts w:cstheme="minorHAnsi"/>
        </w:rPr>
      </w:pPr>
    </w:p>
    <w:p w14:paraId="3C4213E4" w14:textId="77777777" w:rsidR="00E8122D" w:rsidRPr="008F12AD" w:rsidRDefault="00342363" w:rsidP="00313013">
      <w:pPr>
        <w:spacing w:line="240" w:lineRule="auto"/>
        <w:rPr>
          <w:rFonts w:cstheme="minorHAnsi"/>
          <w:b/>
        </w:rPr>
      </w:pPr>
      <w:r w:rsidRPr="008F12AD">
        <w:rPr>
          <w:rFonts w:cstheme="minorHAnsi"/>
          <w:b/>
        </w:rPr>
        <w:t>Method</w:t>
      </w:r>
    </w:p>
    <w:p w14:paraId="2D7F87C8" w14:textId="5A7A52D0" w:rsidR="00313013" w:rsidRPr="008F12AD" w:rsidRDefault="00342363" w:rsidP="00313013">
      <w:pPr>
        <w:spacing w:line="240" w:lineRule="auto"/>
        <w:rPr>
          <w:rFonts w:cstheme="minorHAnsi"/>
        </w:rPr>
      </w:pPr>
      <w:r w:rsidRPr="008F12AD">
        <w:rPr>
          <w:rFonts w:cstheme="minorHAnsi"/>
        </w:rPr>
        <w:t>The cost analysis is based on aggregate data on length of stay (LOS) in hospital and surgeries performed in children up to five years of age provided by 14 registries using a distributed analysis script produced by SGUL</w:t>
      </w:r>
    </w:p>
    <w:p w14:paraId="1088D136" w14:textId="77777777" w:rsidR="00342363" w:rsidRPr="008F12AD" w:rsidRDefault="00342363" w:rsidP="00342363">
      <w:pPr>
        <w:rPr>
          <w:rFonts w:cstheme="minorHAnsi"/>
        </w:rPr>
      </w:pPr>
    </w:p>
    <w:p w14:paraId="498823D0" w14:textId="0BA87A5C" w:rsidR="0091499E" w:rsidRPr="008F12AD" w:rsidRDefault="00342363" w:rsidP="008F12AD">
      <w:pPr>
        <w:rPr>
          <w:rFonts w:cstheme="minorHAnsi"/>
        </w:rPr>
      </w:pPr>
      <w:r w:rsidRPr="008F12AD">
        <w:rPr>
          <w:rFonts w:cstheme="minorHAnsi"/>
        </w:rPr>
        <w:t xml:space="preserve">The following congenital anomaly subgroups are included: </w:t>
      </w:r>
      <w:r w:rsidRPr="008F12AD">
        <w:rPr>
          <w:rFonts w:eastAsia="Times New Roman" w:cstheme="minorHAnsi"/>
          <w:b/>
          <w:bCs/>
          <w:color w:val="000000"/>
          <w:lang w:eastAsia="en-GB"/>
        </w:rPr>
        <w:t xml:space="preserve">All anomalies, </w:t>
      </w:r>
      <w:r w:rsidRPr="008F12AD">
        <w:rPr>
          <w:rFonts w:eastAsia="Times New Roman" w:cstheme="minorHAnsi"/>
          <w:color w:val="000000"/>
          <w:lang w:eastAsia="en-GB"/>
        </w:rPr>
        <w:t xml:space="preserve">Spina Bifida, Hydrocephalus, Severe microcephaly, Congenital cataract, </w:t>
      </w:r>
      <w:r w:rsidRPr="008F12AD">
        <w:rPr>
          <w:rFonts w:eastAsia="Times New Roman" w:cstheme="minorHAnsi"/>
          <w:b/>
          <w:bCs/>
          <w:color w:val="000000"/>
          <w:lang w:eastAsia="en-GB"/>
        </w:rPr>
        <w:t xml:space="preserve">Congenital Heart Defects, </w:t>
      </w:r>
      <w:r w:rsidRPr="008F12AD">
        <w:rPr>
          <w:rFonts w:eastAsia="Times New Roman" w:cstheme="minorHAnsi"/>
          <w:color w:val="000000"/>
          <w:lang w:eastAsia="en-GB"/>
        </w:rPr>
        <w:t xml:space="preserve">Severe CHD, Transposition of    great vessels, VSD, ASD, AVSD, Tetralogy of Fallot, Pulmonary valve stenosis, Aortic valve atresia/stenosis, Mitral valve anomalies, Hypoplastic left heart, Coarctation of aorta, PDA as </w:t>
      </w:r>
      <w:r w:rsidRPr="008F12AD">
        <w:rPr>
          <w:rFonts w:eastAsia="Times New Roman" w:cstheme="minorHAnsi"/>
          <w:bCs/>
          <w:color w:val="000000"/>
          <w:lang w:eastAsia="en-GB"/>
        </w:rPr>
        <w:t>only</w:t>
      </w:r>
      <w:r w:rsidRPr="008F12AD">
        <w:rPr>
          <w:rFonts w:eastAsia="Times New Roman" w:cstheme="minorHAnsi"/>
          <w:color w:val="000000"/>
          <w:lang w:eastAsia="en-GB"/>
        </w:rPr>
        <w:t xml:space="preserve"> CHD in term infants (GA +37 weeks), Cystic adenomatous  malf of lung, Cleft lip with or without cleft palate, left palate, Oesophageal atresia with or without trachea-oesophageal fistula, Duodenal atresia or stenosis, Atresia or stenosis of other parts of small intestine, Ano-rectal atresia and stenosis, Diaphragmatic hernia, Gastroschisis, Omphalocele, Multicystic renal dysplasia, Cong hydronephrosis,  Hypospadias, Limb reduction defects, Club foot – talipes equinovarus, Hip dislocation and / or dyspasia, Polydactyly, Syndactyly, Craniosynostosis, Down syndrome, Turner syndrome, Klinefelter syndrome.</w:t>
      </w:r>
      <w:r w:rsidR="009F1D50" w:rsidRPr="008F12AD">
        <w:rPr>
          <w:rFonts w:eastAsia="Times New Roman" w:cstheme="minorHAnsi"/>
          <w:color w:val="000000"/>
          <w:lang w:eastAsia="en-GB"/>
        </w:rPr>
        <w:t xml:space="preserve"> </w:t>
      </w:r>
      <w:r w:rsidR="0091499E" w:rsidRPr="008F12AD">
        <w:rPr>
          <w:rFonts w:cstheme="minorHAnsi"/>
        </w:rPr>
        <w:t>Isolated and all anomalies will be analysed separately.</w:t>
      </w:r>
    </w:p>
    <w:p w14:paraId="06D2B4C3" w14:textId="77777777" w:rsidR="001B20A1" w:rsidRPr="008F12AD" w:rsidRDefault="001B20A1">
      <w:pPr>
        <w:rPr>
          <w:rFonts w:cstheme="minorHAnsi"/>
        </w:rPr>
      </w:pPr>
    </w:p>
    <w:p w14:paraId="5C6D5A48" w14:textId="65B0C35E" w:rsidR="00342363" w:rsidRPr="008F12AD" w:rsidRDefault="00342363" w:rsidP="00342363">
      <w:pPr>
        <w:rPr>
          <w:rFonts w:cstheme="minorHAnsi"/>
          <w:b/>
        </w:rPr>
      </w:pPr>
      <w:r w:rsidRPr="008F12AD">
        <w:rPr>
          <w:rFonts w:cstheme="minorHAnsi"/>
          <w:b/>
        </w:rPr>
        <w:t>Calculating Costs</w:t>
      </w:r>
      <w:r w:rsidR="006C2964" w:rsidRPr="008F12AD">
        <w:rPr>
          <w:rFonts w:cstheme="minorHAnsi"/>
          <w:b/>
        </w:rPr>
        <w:t xml:space="preserve"> using NHS Costs</w:t>
      </w:r>
    </w:p>
    <w:p w14:paraId="6A2D53E5" w14:textId="58063D5A" w:rsidR="00342363" w:rsidRPr="008F12AD" w:rsidRDefault="00342363" w:rsidP="00342363">
      <w:pPr>
        <w:rPr>
          <w:rFonts w:cstheme="minorHAnsi"/>
        </w:rPr>
      </w:pPr>
      <w:r w:rsidRPr="008F12AD">
        <w:rPr>
          <w:rFonts w:eastAsia="Times New Roman" w:cstheme="minorHAnsi"/>
          <w:color w:val="000000"/>
          <w:lang w:eastAsia="en-GB"/>
        </w:rPr>
        <w:t xml:space="preserve">The costs of hospital stay and the costs of surgeries performed on children with any of the above anomalies will be assessed based on UK NHS costs for 2017/18 using a methodology developed by the UK </w:t>
      </w:r>
      <w:r w:rsidRPr="008F12AD">
        <w:rPr>
          <w:rFonts w:cstheme="minorHAnsi"/>
        </w:rPr>
        <w:t>healthcare resource group (HRG)</w:t>
      </w:r>
      <w:r w:rsidR="00A3683D">
        <w:rPr>
          <w:rFonts w:cstheme="minorHAnsi"/>
        </w:rPr>
        <w:fldChar w:fldCharType="begin"/>
      </w:r>
      <w:r w:rsidR="00A3683D">
        <w:rPr>
          <w:rFonts w:cstheme="minorHAnsi"/>
        </w:rPr>
        <w:instrText xml:space="preserve"> ADDIN EN.CITE &lt;EndNote&gt;&lt;Cite&gt;&lt;Author&gt;J.&lt;/Author&gt;&lt;Year&gt;2015&lt;/Year&gt;&lt;RecNum&gt;3446&lt;/RecNum&gt;&lt;DisplayText&gt;[1]&lt;/DisplayText&gt;&lt;record&gt;&lt;rec-number&gt;3446&lt;/rec-number&gt;&lt;foreign-keys&gt;&lt;key app="EN" db-id="a5e0ev2ppe22spez295xs9doewttzzdwdtpx" timestamp="1586275142"&gt;3446&lt;/key&gt;&lt;/foreign-keys&gt;&lt;ref-type name="Journal Article"&gt;17&lt;/ref-type&gt;&lt;contributors&gt;&lt;authors&gt;&lt;author&gt;Barker J.&lt;/author&gt;&lt;/authors&gt;&lt;/contributors&gt;&lt;titles&gt;&lt;title&gt;Interactive complexity and comorbidity splits in Health Resource Group 4+&lt;/title&gt;&lt;secondary-title&gt;British Journal of Healthcare Management&lt;/secondary-title&gt;&lt;/titles&gt;&lt;periodical&gt;&lt;full-title&gt;British Journal of Healthcare Management&lt;/full-title&gt;&lt;/periodical&gt;&lt;pages&gt;433-439&lt;/pages&gt;&lt;volume&gt;21&lt;/volume&gt;&lt;number&gt;9&lt;/number&gt;&lt;keywords&gt;&lt;keyword&gt;HRG4+,Interactive complexity and comorbidity splits,case-mix,providers&lt;/keyword&gt;&lt;/keywords&gt;&lt;dates&gt;&lt;year&gt;2015&lt;/year&gt;&lt;/dates&gt;&lt;urls&gt;&lt;related-urls&gt;&lt;url&gt;https://www.magonlinelibrary.com/doi/abs/10.12968/bjhc.2015.21.9.433&lt;/url&gt;&lt;/related-urls&gt;&lt;/urls&gt;&lt;electronic-resource-num&gt;10.12968/bjhc.2015.21.9.433&lt;/electronic-resource-num&gt;&lt;/record&gt;&lt;/Cite&gt;&lt;/EndNote&gt;</w:instrText>
      </w:r>
      <w:r w:rsidR="00A3683D">
        <w:rPr>
          <w:rFonts w:cstheme="minorHAnsi"/>
        </w:rPr>
        <w:fldChar w:fldCharType="separate"/>
      </w:r>
      <w:r w:rsidR="00A3683D">
        <w:rPr>
          <w:rFonts w:cstheme="minorHAnsi"/>
          <w:noProof/>
        </w:rPr>
        <w:t>[1]</w:t>
      </w:r>
      <w:r w:rsidR="00A3683D">
        <w:rPr>
          <w:rFonts w:cstheme="minorHAnsi"/>
        </w:rPr>
        <w:fldChar w:fldCharType="end"/>
      </w:r>
      <w:r w:rsidRPr="008F12AD">
        <w:rPr>
          <w:rFonts w:cstheme="minorHAnsi"/>
        </w:rPr>
        <w:t xml:space="preserve">. All costs will be calculated using the NHS costs for 2017/18. This enables both comparisons across countries and also Pan European </w:t>
      </w:r>
      <w:proofErr w:type="gramStart"/>
      <w:r w:rsidRPr="008F12AD">
        <w:rPr>
          <w:rFonts w:cstheme="minorHAnsi"/>
        </w:rPr>
        <w:t>summaries  to</w:t>
      </w:r>
      <w:proofErr w:type="gramEnd"/>
      <w:r w:rsidRPr="008F12AD">
        <w:rPr>
          <w:rFonts w:cstheme="minorHAnsi"/>
        </w:rPr>
        <w:t xml:space="preserve"> be done.</w:t>
      </w:r>
    </w:p>
    <w:p w14:paraId="67F86CED" w14:textId="77777777" w:rsidR="00342363" w:rsidRPr="008F12AD" w:rsidRDefault="00342363">
      <w:pPr>
        <w:rPr>
          <w:rFonts w:cstheme="minorHAnsi"/>
        </w:rPr>
      </w:pPr>
    </w:p>
    <w:p w14:paraId="6CB21DB5" w14:textId="77777777" w:rsidR="00A3683D" w:rsidRDefault="00A3683D">
      <w:pPr>
        <w:rPr>
          <w:rFonts w:cstheme="minorHAnsi"/>
          <w:b/>
        </w:rPr>
      </w:pPr>
      <w:r>
        <w:rPr>
          <w:rFonts w:cstheme="minorHAnsi"/>
          <w:b/>
        </w:rPr>
        <w:br w:type="page"/>
      </w:r>
    </w:p>
    <w:p w14:paraId="4077C027" w14:textId="5AFB106D" w:rsidR="001B20A1" w:rsidRPr="008F12AD" w:rsidRDefault="001B20A1">
      <w:pPr>
        <w:rPr>
          <w:rFonts w:cstheme="minorHAnsi"/>
          <w:b/>
        </w:rPr>
      </w:pPr>
      <w:r w:rsidRPr="008F12AD">
        <w:rPr>
          <w:rFonts w:cstheme="minorHAnsi"/>
          <w:b/>
        </w:rPr>
        <w:lastRenderedPageBreak/>
        <w:t>Costs of Ca</w:t>
      </w:r>
      <w:r w:rsidR="0013784B" w:rsidRPr="008F12AD">
        <w:rPr>
          <w:rFonts w:cstheme="minorHAnsi"/>
          <w:b/>
        </w:rPr>
        <w:t>re in the NHS (UK)</w:t>
      </w:r>
    </w:p>
    <w:p w14:paraId="4D135BE7" w14:textId="66FB8A71" w:rsidR="001B20A1" w:rsidRPr="008F12AD" w:rsidRDefault="001B20A1">
      <w:pPr>
        <w:rPr>
          <w:rFonts w:cstheme="minorHAnsi"/>
        </w:rPr>
      </w:pPr>
      <w:r w:rsidRPr="008F12AD">
        <w:rPr>
          <w:rFonts w:cstheme="minorHAnsi"/>
        </w:rPr>
        <w:t>In the UK NHS a methodology has been developed which collates   all possible interventions and diagnoses into common groupings called HRGs in order to set tariffs</w:t>
      </w:r>
      <w:r w:rsidR="00A3683D">
        <w:rPr>
          <w:rFonts w:cstheme="minorHAnsi"/>
        </w:rPr>
        <w:t xml:space="preserve"> [3-8]</w:t>
      </w:r>
      <w:r w:rsidRPr="008F12AD">
        <w:rPr>
          <w:rFonts w:cstheme="minorHAnsi"/>
        </w:rPr>
        <w:t>. Each HRG is a clinically meaningful group of diagnoses and interventions that consume similar levels of NHS resources.</w:t>
      </w:r>
      <w:r w:rsidR="00547435" w:rsidRPr="008F12AD">
        <w:rPr>
          <w:rFonts w:cstheme="minorHAnsi"/>
        </w:rPr>
        <w:t xml:space="preserve"> </w:t>
      </w:r>
      <w:r w:rsidRPr="008F12AD">
        <w:rPr>
          <w:rFonts w:cstheme="minorHAnsi"/>
        </w:rPr>
        <w:t>HRGs are maintained by the Casemix Service at the NHS Information Centre, which also produces the grouper software to enable ICD-10 and OPCS-4 codes to be assigned to HRGs. There are tariffs for over 1,500 HRGs. Tariff prices have traditionally been based on the average cost of services reported by NHS providers in the annual reference costs collection. The introduction of best practice tariffs in 2010-11, and a commitment to expand them in future years, has seen tariffs increasingly determined by best clinical practice rather than average cost. HRGs provide a currency for payment for the average patient. Some patient’s care will vary a great deal from the average, for example because of an unusually short or long stay in hospital, or because of the need for specialised and therefore more expensive care. Therefore, adjustments are sometimes applied to the tariffs, including short stay emergency adjustments, long stay payments, and specialised service top-ups. Some best practice tariffs also offer additional payments. The tariff received by the provider is multiplied by a nationally determined market forces factor (MFF) unique to each organisation to reflect the fact that it is more expensive to provide services in some parts of the country than in others.</w:t>
      </w:r>
    </w:p>
    <w:p w14:paraId="7AB98E8C" w14:textId="77777777" w:rsidR="005B6D3B" w:rsidRPr="008F12AD" w:rsidRDefault="005B6D3B">
      <w:pPr>
        <w:rPr>
          <w:rFonts w:cstheme="minorHAnsi"/>
        </w:rPr>
      </w:pPr>
      <w:r w:rsidRPr="008F12AD">
        <w:rPr>
          <w:rFonts w:cstheme="minorHAnsi"/>
        </w:rPr>
        <w:t>HRGs are split according to Complexity and Comorbidity (</w:t>
      </w:r>
      <w:proofErr w:type="gramStart"/>
      <w:r w:rsidRPr="008F12AD">
        <w:rPr>
          <w:rFonts w:cstheme="minorHAnsi"/>
        </w:rPr>
        <w:t>CC )</w:t>
      </w:r>
      <w:proofErr w:type="gramEnd"/>
      <w:r w:rsidRPr="008F12AD">
        <w:rPr>
          <w:rFonts w:cstheme="minorHAnsi"/>
        </w:rPr>
        <w:t xml:space="preserve"> score, with the CC scores being grouped and the </w:t>
      </w:r>
      <w:r w:rsidR="00425B55" w:rsidRPr="008F12AD">
        <w:rPr>
          <w:rFonts w:cstheme="minorHAnsi"/>
        </w:rPr>
        <w:t>groups often being 0,1-2,3 or more.</w:t>
      </w:r>
      <w:r w:rsidRPr="008F12AD">
        <w:rPr>
          <w:rFonts w:cstheme="minorHAnsi"/>
        </w:rPr>
        <w:t xml:space="preserve"> The file “HRG4+ 201718 Local Payment Grouper Code </w:t>
      </w:r>
      <w:proofErr w:type="gramStart"/>
      <w:r w:rsidRPr="008F12AD">
        <w:rPr>
          <w:rFonts w:cstheme="minorHAnsi"/>
        </w:rPr>
        <w:t>To</w:t>
      </w:r>
      <w:proofErr w:type="gramEnd"/>
      <w:r w:rsidRPr="008F12AD">
        <w:rPr>
          <w:rFonts w:cstheme="minorHAnsi"/>
        </w:rPr>
        <w:t xml:space="preserve"> Group v1.0”</w:t>
      </w:r>
      <w:r w:rsidR="00547435" w:rsidRPr="008F12AD">
        <w:rPr>
          <w:rFonts w:cstheme="minorHAnsi"/>
        </w:rPr>
        <w:t xml:space="preserve"> with</w:t>
      </w:r>
      <w:r w:rsidRPr="008F12AD">
        <w:rPr>
          <w:rFonts w:cstheme="minorHAnsi"/>
        </w:rPr>
        <w:t xml:space="preserve"> spreadsheet “CC lists” gives the CC scores according to ICD10 codes</w:t>
      </w:r>
      <w:r w:rsidR="00547435" w:rsidRPr="008F12AD">
        <w:rPr>
          <w:rFonts w:cstheme="minorHAnsi"/>
        </w:rPr>
        <w:t xml:space="preserve"> and also the HRG they are undergoing. For </w:t>
      </w:r>
      <w:proofErr w:type="gramStart"/>
      <w:r w:rsidR="00547435" w:rsidRPr="008F12AD">
        <w:rPr>
          <w:rFonts w:cstheme="minorHAnsi"/>
        </w:rPr>
        <w:t>example</w:t>
      </w:r>
      <w:proofErr w:type="gramEnd"/>
      <w:r w:rsidR="00547435" w:rsidRPr="008F12AD">
        <w:rPr>
          <w:rFonts w:cstheme="minorHAnsi"/>
        </w:rPr>
        <w:t xml:space="preserve"> spina bifida has a CC score of 1 if the procedure is an eye operation, but a score of 2 if the procedure is surgery for congenital heart disease. Chromosomal conditions and severe heart disease tend to have CC scores of 2 and the average CC score </w:t>
      </w:r>
      <w:r w:rsidR="00425B55" w:rsidRPr="008F12AD">
        <w:rPr>
          <w:rFonts w:cstheme="minorHAnsi"/>
        </w:rPr>
        <w:t xml:space="preserve">for Q codes </w:t>
      </w:r>
      <w:r w:rsidR="00547435" w:rsidRPr="008F12AD">
        <w:rPr>
          <w:rFonts w:cstheme="minorHAnsi"/>
        </w:rPr>
        <w:t xml:space="preserve">is 1.3. </w:t>
      </w:r>
      <w:proofErr w:type="gramStart"/>
      <w:r w:rsidR="00547435" w:rsidRPr="008F12AD">
        <w:rPr>
          <w:rFonts w:cstheme="minorHAnsi"/>
        </w:rPr>
        <w:t>Therefore</w:t>
      </w:r>
      <w:proofErr w:type="gramEnd"/>
      <w:r w:rsidR="00547435" w:rsidRPr="008F12AD">
        <w:rPr>
          <w:rFonts w:cstheme="minorHAnsi"/>
        </w:rPr>
        <w:t xml:space="preserve"> when analysing isolated anomalies it should be assumed that the overall CC score is </w:t>
      </w:r>
      <w:r w:rsidR="009F21DE" w:rsidRPr="008F12AD">
        <w:rPr>
          <w:rFonts w:cstheme="minorHAnsi"/>
        </w:rPr>
        <w:t>greater than</w:t>
      </w:r>
      <w:r w:rsidR="00547435" w:rsidRPr="008F12AD">
        <w:rPr>
          <w:rFonts w:cstheme="minorHAnsi"/>
        </w:rPr>
        <w:t xml:space="preserve"> 1. When analysing all anomalies it should be assumed that the overall CC score is </w:t>
      </w:r>
      <w:r w:rsidR="009F21DE" w:rsidRPr="008F12AD">
        <w:rPr>
          <w:rFonts w:cstheme="minorHAnsi"/>
        </w:rPr>
        <w:t xml:space="preserve">greater </w:t>
      </w:r>
      <w:proofErr w:type="gramStart"/>
      <w:r w:rsidR="009F21DE" w:rsidRPr="008F12AD">
        <w:rPr>
          <w:rFonts w:cstheme="minorHAnsi"/>
        </w:rPr>
        <w:t xml:space="preserve">than </w:t>
      </w:r>
      <w:r w:rsidR="00547435" w:rsidRPr="008F12AD">
        <w:rPr>
          <w:rFonts w:cstheme="minorHAnsi"/>
        </w:rPr>
        <w:t xml:space="preserve"> 2</w:t>
      </w:r>
      <w:proofErr w:type="gramEnd"/>
      <w:r w:rsidR="00547435" w:rsidRPr="008F12AD">
        <w:rPr>
          <w:rFonts w:cstheme="minorHAnsi"/>
        </w:rPr>
        <w:t>.</w:t>
      </w:r>
    </w:p>
    <w:p w14:paraId="0413FD49" w14:textId="77777777" w:rsidR="00325F51" w:rsidRPr="008F12AD" w:rsidRDefault="00325F51">
      <w:pPr>
        <w:rPr>
          <w:rFonts w:cstheme="minorHAnsi"/>
        </w:rPr>
      </w:pPr>
    </w:p>
    <w:p w14:paraId="2DE8DF23" w14:textId="77777777" w:rsidR="00425B55" w:rsidRPr="008F12AD" w:rsidRDefault="00425B55" w:rsidP="00425B55">
      <w:pPr>
        <w:rPr>
          <w:rFonts w:cstheme="minorHAnsi"/>
          <w:b/>
        </w:rPr>
      </w:pPr>
      <w:r w:rsidRPr="008F12AD">
        <w:rPr>
          <w:rFonts w:cstheme="minorHAnsi"/>
          <w:b/>
        </w:rPr>
        <w:t>Length of Stay</w:t>
      </w:r>
    </w:p>
    <w:p w14:paraId="15ECBF78" w14:textId="12C89EE0" w:rsidR="0074566E" w:rsidRPr="008F12AD" w:rsidRDefault="00347974" w:rsidP="00425B55">
      <w:pPr>
        <w:rPr>
          <w:rFonts w:cstheme="minorHAnsi"/>
        </w:rPr>
      </w:pPr>
      <w:r w:rsidRPr="008F12AD">
        <w:rPr>
          <w:rFonts w:cstheme="minorHAnsi"/>
        </w:rPr>
        <w:t>The</w:t>
      </w:r>
      <w:r w:rsidR="00425B55" w:rsidRPr="008F12AD">
        <w:rPr>
          <w:rFonts w:cstheme="minorHAnsi"/>
        </w:rPr>
        <w:t xml:space="preserve"> median length of stay in hospital </w:t>
      </w:r>
      <w:r w:rsidRPr="008F12AD">
        <w:rPr>
          <w:rFonts w:cstheme="minorHAnsi"/>
        </w:rPr>
        <w:t xml:space="preserve">is available </w:t>
      </w:r>
      <w:r w:rsidR="00425B55" w:rsidRPr="008F12AD">
        <w:rPr>
          <w:rFonts w:cstheme="minorHAnsi"/>
        </w:rPr>
        <w:t>for specified anomalies</w:t>
      </w:r>
      <w:r w:rsidR="00D55411" w:rsidRPr="008F12AD">
        <w:rPr>
          <w:rFonts w:cstheme="minorHAnsi"/>
        </w:rPr>
        <w:t xml:space="preserve"> (from WP4 Table 4B)</w:t>
      </w:r>
      <w:r w:rsidR="00425B55" w:rsidRPr="008F12AD">
        <w:rPr>
          <w:rFonts w:cstheme="minorHAnsi"/>
        </w:rPr>
        <w:t xml:space="preserve">. The ICD10 Q codes for these anomalies </w:t>
      </w:r>
      <w:r w:rsidRPr="008F12AD">
        <w:rPr>
          <w:rFonts w:cstheme="minorHAnsi"/>
        </w:rPr>
        <w:t>will</w:t>
      </w:r>
      <w:r w:rsidR="00425B55" w:rsidRPr="008F12AD">
        <w:rPr>
          <w:rFonts w:cstheme="minorHAnsi"/>
        </w:rPr>
        <w:t xml:space="preserve"> be assigned HRG4</w:t>
      </w:r>
      <w:r w:rsidR="00D55411" w:rsidRPr="008F12AD">
        <w:rPr>
          <w:rFonts w:cstheme="minorHAnsi"/>
        </w:rPr>
        <w:t>+</w:t>
      </w:r>
      <w:r w:rsidR="00425B55" w:rsidRPr="008F12AD">
        <w:rPr>
          <w:rFonts w:cstheme="minorHAnsi"/>
        </w:rPr>
        <w:t xml:space="preserve"> codes </w:t>
      </w:r>
      <w:r w:rsidRPr="008F12AD">
        <w:rPr>
          <w:rFonts w:cstheme="minorHAnsi"/>
        </w:rPr>
        <w:t xml:space="preserve">based on </w:t>
      </w:r>
      <w:r w:rsidR="00425B55" w:rsidRPr="008F12AD">
        <w:rPr>
          <w:rFonts w:cstheme="minorHAnsi"/>
        </w:rPr>
        <w:t>the spreadsheet “</w:t>
      </w:r>
      <w:r w:rsidR="00425B55" w:rsidRPr="008F12AD">
        <w:rPr>
          <w:rFonts w:cstheme="minorHAnsi"/>
          <w:i/>
        </w:rPr>
        <w:t>Code To Group</w:t>
      </w:r>
      <w:r w:rsidR="00425B55" w:rsidRPr="008F12AD">
        <w:rPr>
          <w:rFonts w:cstheme="minorHAnsi"/>
        </w:rPr>
        <w:t>” in the file “</w:t>
      </w:r>
      <w:r w:rsidR="00425B55" w:rsidRPr="008F12AD">
        <w:rPr>
          <w:rFonts w:cstheme="minorHAnsi"/>
          <w:i/>
          <w:u w:val="single"/>
        </w:rPr>
        <w:t>HRG4+ 201718 Local Payment Grouper Code To Group v1.0</w:t>
      </w:r>
      <w:r w:rsidR="00425B55" w:rsidRPr="008F12AD">
        <w:rPr>
          <w:rFonts w:cstheme="minorHAnsi"/>
        </w:rPr>
        <w:t xml:space="preserve">” and the relevant CC scores will be assigned in order to obtain an HRG4+ code with CC score.  </w:t>
      </w:r>
    </w:p>
    <w:p w14:paraId="18688962" w14:textId="04657FE3" w:rsidR="0074566E" w:rsidRPr="008F12AD" w:rsidRDefault="00425B55" w:rsidP="00425B55">
      <w:pPr>
        <w:rPr>
          <w:rFonts w:cstheme="minorHAnsi"/>
        </w:rPr>
      </w:pPr>
      <w:r w:rsidRPr="008F12AD">
        <w:rPr>
          <w:rFonts w:cstheme="minorHAnsi"/>
        </w:rPr>
        <w:t>The file “</w:t>
      </w:r>
      <w:r w:rsidRPr="008F12AD">
        <w:rPr>
          <w:rFonts w:cstheme="minorHAnsi"/>
          <w:i/>
          <w:u w:val="single"/>
        </w:rPr>
        <w:t>Copy of 2_-_National_schedule_of_reference_costs_v2</w:t>
      </w:r>
      <w:r w:rsidRPr="008F12AD">
        <w:rPr>
          <w:rFonts w:cstheme="minorHAnsi"/>
        </w:rPr>
        <w:t>” with spreadsheet “</w:t>
      </w:r>
      <w:r w:rsidRPr="008F12AD">
        <w:rPr>
          <w:rFonts w:cstheme="minorHAnsi"/>
          <w:i/>
        </w:rPr>
        <w:t>EL</w:t>
      </w:r>
      <w:r w:rsidRPr="008F12AD">
        <w:rPr>
          <w:rFonts w:cstheme="minorHAnsi"/>
        </w:rPr>
        <w:t xml:space="preserve">” has National Schedule of Reference Costs for elective in patients according to HRG4+ codes.  </w:t>
      </w:r>
      <w:r w:rsidR="0074566E" w:rsidRPr="008F12AD">
        <w:rPr>
          <w:rFonts w:cstheme="minorHAnsi"/>
        </w:rPr>
        <w:t>It also includes</w:t>
      </w:r>
      <w:r w:rsidRPr="008F12AD">
        <w:rPr>
          <w:rFonts w:cstheme="minorHAnsi"/>
        </w:rPr>
        <w:t xml:space="preserve"> costs for additional days spent in hospital above that considered “normal” for the specified description</w:t>
      </w:r>
      <w:r w:rsidR="0074566E" w:rsidRPr="008F12AD">
        <w:rPr>
          <w:rFonts w:cstheme="minorHAnsi"/>
        </w:rPr>
        <w:t>, and the average length of stay in hospital in days</w:t>
      </w:r>
      <w:r w:rsidRPr="008F12AD">
        <w:rPr>
          <w:rFonts w:cstheme="minorHAnsi"/>
        </w:rPr>
        <w:t xml:space="preserve">. </w:t>
      </w:r>
    </w:p>
    <w:p w14:paraId="12D37A1B" w14:textId="77777777" w:rsidR="0074566E" w:rsidRPr="008F12AD" w:rsidRDefault="0074566E" w:rsidP="00425B55">
      <w:pPr>
        <w:rPr>
          <w:rFonts w:cstheme="minorHAnsi"/>
        </w:rPr>
      </w:pPr>
    </w:p>
    <w:p w14:paraId="59C50FB7" w14:textId="2475CAC5" w:rsidR="00425B55" w:rsidRPr="008F12AD" w:rsidRDefault="00425B55" w:rsidP="00425B55">
      <w:pPr>
        <w:rPr>
          <w:rFonts w:cstheme="minorHAnsi"/>
        </w:rPr>
      </w:pPr>
      <w:r w:rsidRPr="008F12AD">
        <w:rPr>
          <w:rFonts w:cstheme="minorHAnsi"/>
        </w:rPr>
        <w:t>For each country the costs will be calculated as the total cost for the “normal” length of stay plus an additional cost if the median length of stay is greater than the “normal” stay.</w:t>
      </w:r>
      <w:r w:rsidR="00D55411" w:rsidRPr="008F12AD">
        <w:rPr>
          <w:rFonts w:cstheme="minorHAnsi"/>
        </w:rPr>
        <w:t xml:space="preserve"> The relevant CC codes will be assumed according to whether the anomaly is isolated or not. For the “All anomalies” group </w:t>
      </w:r>
      <w:r w:rsidRPr="008F12AD">
        <w:rPr>
          <w:rFonts w:cstheme="minorHAnsi"/>
        </w:rPr>
        <w:t xml:space="preserve"> </w:t>
      </w:r>
    </w:p>
    <w:p w14:paraId="77F8BCB0" w14:textId="77777777" w:rsidR="00425B55" w:rsidRPr="008F12AD" w:rsidRDefault="00425B55" w:rsidP="00425B55">
      <w:pPr>
        <w:rPr>
          <w:rFonts w:cstheme="minorHAnsi"/>
        </w:rPr>
      </w:pPr>
    </w:p>
    <w:p w14:paraId="1C6BAAA5" w14:textId="7111C594" w:rsidR="00425B55" w:rsidRPr="008F12AD" w:rsidRDefault="00425B55">
      <w:pPr>
        <w:rPr>
          <w:rFonts w:cstheme="minorHAnsi"/>
        </w:rPr>
      </w:pPr>
      <w:r w:rsidRPr="008F12AD">
        <w:rPr>
          <w:rFonts w:cstheme="minorHAnsi"/>
        </w:rPr>
        <w:lastRenderedPageBreak/>
        <w:t xml:space="preserve"> the costs </w:t>
      </w:r>
      <w:r w:rsidR="00497123" w:rsidRPr="008F12AD">
        <w:rPr>
          <w:rFonts w:cstheme="minorHAnsi"/>
        </w:rPr>
        <w:t xml:space="preserve">for the non-isolated CA subgroups </w:t>
      </w:r>
      <w:r w:rsidRPr="008F12AD">
        <w:rPr>
          <w:rFonts w:cstheme="minorHAnsi"/>
        </w:rPr>
        <w:t xml:space="preserve">will be calculated either using the median costs for the other anomalies or else using the </w:t>
      </w:r>
      <w:r w:rsidR="00D55411" w:rsidRPr="008F12AD">
        <w:rPr>
          <w:rFonts w:cstheme="minorHAnsi"/>
        </w:rPr>
        <w:t xml:space="preserve">general costs for </w:t>
      </w:r>
      <w:r w:rsidRPr="008F12AD">
        <w:rPr>
          <w:rFonts w:cstheme="minorHAnsi"/>
        </w:rPr>
        <w:t>neonatal or paediatric critical care costs</w:t>
      </w:r>
      <w:r w:rsidR="00D55411" w:rsidRPr="008F12AD">
        <w:rPr>
          <w:rFonts w:cstheme="minorHAnsi"/>
        </w:rPr>
        <w:t xml:space="preserve"> as appropriate</w:t>
      </w:r>
      <w:r w:rsidRPr="008F12AD">
        <w:rPr>
          <w:rFonts w:cstheme="minorHAnsi"/>
        </w:rPr>
        <w:t xml:space="preserve">.  </w:t>
      </w:r>
    </w:p>
    <w:p w14:paraId="697E3569" w14:textId="77777777" w:rsidR="00425B55" w:rsidRPr="008F12AD" w:rsidRDefault="00425B55">
      <w:pPr>
        <w:rPr>
          <w:rFonts w:cstheme="minorHAnsi"/>
        </w:rPr>
      </w:pPr>
    </w:p>
    <w:p w14:paraId="29D3E333" w14:textId="77777777" w:rsidR="00425B55" w:rsidRPr="008F12AD" w:rsidRDefault="00425B55">
      <w:pPr>
        <w:rPr>
          <w:rFonts w:cstheme="minorHAnsi"/>
          <w:b/>
        </w:rPr>
      </w:pPr>
      <w:r w:rsidRPr="008F12AD">
        <w:rPr>
          <w:rFonts w:cstheme="minorHAnsi"/>
          <w:b/>
        </w:rPr>
        <w:t>Surgery</w:t>
      </w:r>
    </w:p>
    <w:p w14:paraId="40BFDE24" w14:textId="25044AA0" w:rsidR="005B6D3B" w:rsidRPr="008F12AD" w:rsidRDefault="00D55411">
      <w:pPr>
        <w:rPr>
          <w:rFonts w:cstheme="minorHAnsi"/>
        </w:rPr>
      </w:pPr>
      <w:r w:rsidRPr="008F12AD">
        <w:rPr>
          <w:rFonts w:cstheme="minorHAnsi"/>
        </w:rPr>
        <w:t xml:space="preserve">Information is available on the occurrence of </w:t>
      </w:r>
      <w:r w:rsidR="00547435" w:rsidRPr="008F12AD">
        <w:rPr>
          <w:rFonts w:cstheme="minorHAnsi"/>
        </w:rPr>
        <w:t>specific surgeries for specific anomalies</w:t>
      </w:r>
      <w:r w:rsidRPr="008F12AD">
        <w:rPr>
          <w:rFonts w:cstheme="minorHAnsi"/>
        </w:rPr>
        <w:t xml:space="preserve"> (WP</w:t>
      </w:r>
      <w:proofErr w:type="gramStart"/>
      <w:r w:rsidRPr="008F12AD">
        <w:rPr>
          <w:rFonts w:cstheme="minorHAnsi"/>
        </w:rPr>
        <w:t>4;Table</w:t>
      </w:r>
      <w:proofErr w:type="gramEnd"/>
      <w:r w:rsidRPr="008F12AD">
        <w:rPr>
          <w:rFonts w:cstheme="minorHAnsi"/>
        </w:rPr>
        <w:t xml:space="preserve"> 5c) </w:t>
      </w:r>
      <w:r w:rsidR="00547435" w:rsidRPr="008F12AD">
        <w:rPr>
          <w:rFonts w:cstheme="minorHAnsi"/>
        </w:rPr>
        <w:t>. For the Welsh data the relevant surgery codes (in OPCS4) have been identified</w:t>
      </w:r>
      <w:r w:rsidR="00EB585E" w:rsidRPr="008F12AD">
        <w:rPr>
          <w:rFonts w:cstheme="minorHAnsi"/>
        </w:rPr>
        <w:t>. These codes will be identified in the spreadsheet “</w:t>
      </w:r>
      <w:r w:rsidR="00EB585E" w:rsidRPr="008F12AD">
        <w:rPr>
          <w:rFonts w:cstheme="minorHAnsi"/>
          <w:i/>
        </w:rPr>
        <w:t xml:space="preserve">Code </w:t>
      </w:r>
      <w:proofErr w:type="gramStart"/>
      <w:r w:rsidR="00EB585E" w:rsidRPr="008F12AD">
        <w:rPr>
          <w:rFonts w:cstheme="minorHAnsi"/>
          <w:i/>
        </w:rPr>
        <w:t>To</w:t>
      </w:r>
      <w:proofErr w:type="gramEnd"/>
      <w:r w:rsidR="00EB585E" w:rsidRPr="008F12AD">
        <w:rPr>
          <w:rFonts w:cstheme="minorHAnsi"/>
          <w:i/>
        </w:rPr>
        <w:t xml:space="preserve"> Group</w:t>
      </w:r>
      <w:r w:rsidR="00EB585E" w:rsidRPr="008F12AD">
        <w:rPr>
          <w:rFonts w:cstheme="minorHAnsi"/>
        </w:rPr>
        <w:t>” in the file “</w:t>
      </w:r>
      <w:r w:rsidR="00EB585E" w:rsidRPr="008F12AD">
        <w:rPr>
          <w:rFonts w:cstheme="minorHAnsi"/>
          <w:i/>
          <w:u w:val="single"/>
        </w:rPr>
        <w:t>HRG4+ 201718 Local Payment Grouper Code To Group v1.0</w:t>
      </w:r>
      <w:r w:rsidR="00EB585E" w:rsidRPr="008F12AD">
        <w:rPr>
          <w:rFonts w:cstheme="minorHAnsi"/>
        </w:rPr>
        <w:t xml:space="preserve">” and the relevant CC scores will be assigned in order to obtain an HRG4+ code with CC score. </w:t>
      </w:r>
    </w:p>
    <w:p w14:paraId="1BB9D0EA" w14:textId="77777777" w:rsidR="008E4F9B" w:rsidRPr="008F12AD" w:rsidRDefault="008E4F9B">
      <w:pPr>
        <w:rPr>
          <w:rFonts w:cstheme="minorHAnsi"/>
        </w:rPr>
      </w:pPr>
    </w:p>
    <w:p w14:paraId="42905F93" w14:textId="77777777" w:rsidR="008E4F9B" w:rsidRPr="008F12AD" w:rsidRDefault="008E4F9B">
      <w:pPr>
        <w:rPr>
          <w:rFonts w:cstheme="minorHAnsi"/>
        </w:rPr>
      </w:pPr>
      <w:r w:rsidRPr="008F12AD">
        <w:rPr>
          <w:rFonts w:cstheme="minorHAnsi"/>
        </w:rPr>
        <w:t xml:space="preserve">The spreadsheet “1a APC &amp; OPROC 17.18” in the file “Annex_A_-_National_tariff_workbook” will be used to assign a cost to each surgery from the </w:t>
      </w:r>
      <w:proofErr w:type="gramStart"/>
      <w:r w:rsidRPr="008F12AD">
        <w:rPr>
          <w:rFonts w:cstheme="minorHAnsi"/>
        </w:rPr>
        <w:t>column  “</w:t>
      </w:r>
      <w:proofErr w:type="gramEnd"/>
      <w:r w:rsidR="00EB3514" w:rsidRPr="008F12AD">
        <w:rPr>
          <w:rFonts w:cstheme="minorHAnsi"/>
        </w:rPr>
        <w:t>O</w:t>
      </w:r>
      <w:r w:rsidRPr="008F12AD">
        <w:rPr>
          <w:rFonts w:cstheme="minorHAnsi"/>
        </w:rPr>
        <w:t xml:space="preserve">rdinary elective spell” </w:t>
      </w:r>
      <w:r w:rsidR="00EB3514" w:rsidRPr="008F12AD">
        <w:rPr>
          <w:rFonts w:cstheme="minorHAnsi"/>
        </w:rPr>
        <w:t xml:space="preserve">average unit costs </w:t>
      </w:r>
    </w:p>
    <w:p w14:paraId="5CBFA60D" w14:textId="77777777" w:rsidR="00425B55" w:rsidRPr="008F12AD" w:rsidRDefault="00425B55">
      <w:pPr>
        <w:rPr>
          <w:rFonts w:cstheme="minorHAnsi"/>
        </w:rPr>
      </w:pPr>
    </w:p>
    <w:p w14:paraId="3F522008" w14:textId="77777777" w:rsidR="00425B55" w:rsidRPr="008F12AD" w:rsidRDefault="00425B55">
      <w:pPr>
        <w:rPr>
          <w:rFonts w:cstheme="minorHAnsi"/>
          <w:b/>
        </w:rPr>
      </w:pPr>
      <w:r w:rsidRPr="008F12AD">
        <w:rPr>
          <w:rFonts w:cstheme="minorHAnsi"/>
          <w:b/>
        </w:rPr>
        <w:t>Days in Intensive Care</w:t>
      </w:r>
    </w:p>
    <w:p w14:paraId="4CA3AE8B" w14:textId="77777777" w:rsidR="00425B55" w:rsidRPr="008F12AD" w:rsidRDefault="00425B55">
      <w:pPr>
        <w:rPr>
          <w:rFonts w:cstheme="minorHAnsi"/>
        </w:rPr>
      </w:pPr>
      <w:r w:rsidRPr="008F12AD">
        <w:rPr>
          <w:rFonts w:cstheme="minorHAnsi"/>
        </w:rPr>
        <w:t>The costs will be calculated using the costs for neonatal and paediatric intensive care given in the spreadsheet “1a APC &amp; OPROC 17.18” in the file “Annex_A_-_National_tariff_workbook”</w:t>
      </w:r>
    </w:p>
    <w:p w14:paraId="3E6BE9F5" w14:textId="77777777" w:rsidR="001B20A1" w:rsidRPr="008F12AD" w:rsidRDefault="005B6D3B">
      <w:pPr>
        <w:rPr>
          <w:rFonts w:cstheme="minorHAnsi"/>
        </w:rPr>
      </w:pPr>
      <w:r w:rsidRPr="008F12AD">
        <w:rPr>
          <w:rFonts w:cstheme="minorHAnsi"/>
        </w:rPr>
        <w:t xml:space="preserve">  </w:t>
      </w:r>
    </w:p>
    <w:p w14:paraId="25A4803B" w14:textId="77777777" w:rsidR="00857CB6" w:rsidRPr="008F12AD" w:rsidRDefault="00B5776F">
      <w:pPr>
        <w:rPr>
          <w:rFonts w:cstheme="minorHAnsi"/>
          <w:b/>
        </w:rPr>
      </w:pPr>
      <w:r w:rsidRPr="008F12AD">
        <w:rPr>
          <w:rFonts w:cstheme="minorHAnsi"/>
          <w:b/>
        </w:rPr>
        <w:t xml:space="preserve"> </w:t>
      </w:r>
    </w:p>
    <w:p w14:paraId="32D81BB2" w14:textId="54BEB717" w:rsidR="00857CB6" w:rsidRPr="008F12AD" w:rsidRDefault="006C2964">
      <w:pPr>
        <w:rPr>
          <w:rFonts w:cstheme="minorHAnsi"/>
          <w:b/>
        </w:rPr>
      </w:pPr>
      <w:r w:rsidRPr="008F12AD">
        <w:rPr>
          <w:rFonts w:cstheme="minorHAnsi"/>
          <w:b/>
        </w:rPr>
        <w:t>Calculating Costs using WHO-CHOICE service delivery unit costs</w:t>
      </w:r>
      <w:r w:rsidR="00E8122D">
        <w:rPr>
          <w:rFonts w:cstheme="minorHAnsi"/>
          <w:b/>
        </w:rPr>
        <w:fldChar w:fldCharType="begin"/>
      </w:r>
      <w:r w:rsidR="00A3683D">
        <w:rPr>
          <w:rFonts w:cstheme="minorHAnsi"/>
          <w:b/>
        </w:rPr>
        <w:instrText xml:space="preserve"> ADDIN EN.CITE &lt;EndNote&gt;&lt;Cite&gt;&lt;Author&gt;Stenberg&lt;/Author&gt;&lt;Year&gt;2018&lt;/Year&gt;&lt;RecNum&gt;3445&lt;/RecNum&gt;&lt;DisplayText&gt;[2]&lt;/DisplayText&gt;&lt;record&gt;&lt;rec-number&gt;3445&lt;/rec-number&gt;&lt;foreign-keys&gt;&lt;key app="EN" db-id="a5e0ev2ppe22spez295xs9doewttzzdwdtpx" timestamp="1586265441"&gt;3445&lt;/key&gt;&lt;/foreign-keys&gt;&lt;ref-type name="Journal Article"&gt;17&lt;/ref-type&gt;&lt;contributors&gt;&lt;authors&gt;&lt;author&gt;Stenberg, Karin&lt;/author&gt;&lt;author&gt;Lauer, Jeremy A.&lt;/author&gt;&lt;author&gt;Gkountouras, Georgios&lt;/author&gt;&lt;author&gt;Fitzpatrick, Christopher&lt;/author&gt;&lt;author&gt;Stanciole, Anderson&lt;/author&gt;&lt;/authors&gt;&lt;/contributors&gt;&lt;titles&gt;&lt;title&gt;Econometric estimation of WHO-CHOICE country-specific costs for inpatient and outpatient health service delivery&lt;/title&gt;&lt;secondary-title&gt;Cost Effectiveness and Resource Allocation&lt;/secondary-title&gt;&lt;/titles&gt;&lt;periodical&gt;&lt;full-title&gt;Cost Effectiveness and Resource Allocation&lt;/full-title&gt;&lt;/periodical&gt;&lt;pages&gt;11&lt;/pages&gt;&lt;volume&gt;16&lt;/volume&gt;&lt;number&gt;1&lt;/number&gt;&lt;dates&gt;&lt;year&gt;2018&lt;/year&gt;&lt;pub-dates&gt;&lt;date&gt;2018/03/19&lt;/date&gt;&lt;/pub-dates&gt;&lt;/dates&gt;&lt;isbn&gt;1478-7547&lt;/isbn&gt;&lt;urls&gt;&lt;related-urls&gt;&lt;url&gt;https://doi.org/10.1186/s12962-018-0095-x&lt;/url&gt;&lt;/related-urls&gt;&lt;/urls&gt;&lt;electronic-resource-num&gt;10.1186/s12962-018-0095-x&lt;/electronic-resource-num&gt;&lt;/record&gt;&lt;/Cite&gt;&lt;/EndNote&gt;</w:instrText>
      </w:r>
      <w:r w:rsidR="00E8122D">
        <w:rPr>
          <w:rFonts w:cstheme="minorHAnsi"/>
          <w:b/>
        </w:rPr>
        <w:fldChar w:fldCharType="separate"/>
      </w:r>
      <w:r w:rsidR="00A3683D">
        <w:rPr>
          <w:rFonts w:cstheme="minorHAnsi"/>
          <w:b/>
          <w:noProof/>
        </w:rPr>
        <w:t>[2]</w:t>
      </w:r>
      <w:r w:rsidR="00E8122D">
        <w:rPr>
          <w:rFonts w:cstheme="minorHAnsi"/>
          <w:b/>
        </w:rPr>
        <w:fldChar w:fldCharType="end"/>
      </w:r>
    </w:p>
    <w:p w14:paraId="2E07C1E6" w14:textId="6311C55F" w:rsidR="00B8517D" w:rsidRPr="008F12AD" w:rsidRDefault="00B8517D" w:rsidP="008F12AD">
      <w:pPr>
        <w:pStyle w:val="NormalWeb"/>
        <w:rPr>
          <w:rFonts w:asciiTheme="minorHAnsi" w:hAnsiTheme="minorHAnsi" w:cstheme="minorHAnsi"/>
          <w:sz w:val="22"/>
          <w:szCs w:val="22"/>
        </w:rPr>
      </w:pPr>
      <w:r w:rsidRPr="008F12AD">
        <w:rPr>
          <w:rFonts w:asciiTheme="minorHAnsi" w:hAnsiTheme="minorHAnsi" w:cstheme="minorHAnsi"/>
          <w:sz w:val="22"/>
          <w:szCs w:val="22"/>
        </w:rPr>
        <w:t xml:space="preserve">The WHO-CHOICE project </w:t>
      </w:r>
      <w:r w:rsidR="00C5063B" w:rsidRPr="008F12AD">
        <w:rPr>
          <w:rFonts w:asciiTheme="minorHAnsi" w:hAnsiTheme="minorHAnsi" w:cstheme="minorHAnsi"/>
          <w:sz w:val="22"/>
          <w:szCs w:val="22"/>
        </w:rPr>
        <w:t>created a database of</w:t>
      </w:r>
      <w:r w:rsidRPr="008F12AD">
        <w:rPr>
          <w:rFonts w:asciiTheme="minorHAnsi" w:hAnsiTheme="minorHAnsi" w:cstheme="minorHAnsi"/>
          <w:sz w:val="22"/>
          <w:szCs w:val="22"/>
        </w:rPr>
        <w:t xml:space="preserve"> estimated unit cost values for service delivery for each country in the world that, in principle, can be thought of as 'average' values of unit costs for the country, based on specific assumptions regarding the organization of health services and operational capacity. Estimates are differentiated for levels of care.</w:t>
      </w:r>
      <w:r w:rsidR="00E8122D" w:rsidRPr="008F12AD">
        <w:rPr>
          <w:rFonts w:asciiTheme="minorHAnsi" w:hAnsiTheme="minorHAnsi" w:cstheme="minorHAnsi"/>
          <w:sz w:val="22"/>
          <w:szCs w:val="22"/>
        </w:rPr>
        <w:t xml:space="preserve"> </w:t>
      </w:r>
      <w:r w:rsidRPr="008F12AD">
        <w:rPr>
          <w:rFonts w:asciiTheme="minorHAnsi" w:hAnsiTheme="minorHAnsi" w:cstheme="minorHAnsi"/>
          <w:sz w:val="22"/>
          <w:szCs w:val="22"/>
        </w:rPr>
        <w:t xml:space="preserve">Inpatient Unit Costs </w:t>
      </w:r>
      <w:r w:rsidR="00E8122D" w:rsidRPr="008F12AD">
        <w:rPr>
          <w:rFonts w:asciiTheme="minorHAnsi" w:hAnsiTheme="minorHAnsi" w:cstheme="minorHAnsi"/>
          <w:sz w:val="22"/>
          <w:szCs w:val="22"/>
        </w:rPr>
        <w:t xml:space="preserve">are </w:t>
      </w:r>
      <w:r w:rsidRPr="008F12AD">
        <w:rPr>
          <w:rFonts w:asciiTheme="minorHAnsi" w:hAnsiTheme="minorHAnsi" w:cstheme="minorHAnsi"/>
          <w:sz w:val="22"/>
          <w:szCs w:val="22"/>
        </w:rPr>
        <w:t>the estimated cost per hospital bed-day. These estimates represent the "hotel" component of hospital costs, i.e., excluding the cost of drugs and diagnostic tests but including costs such as personnel, capital and food costs.</w:t>
      </w:r>
      <w:r w:rsidR="00E8122D" w:rsidRPr="008F12AD">
        <w:rPr>
          <w:rFonts w:asciiTheme="minorHAnsi" w:hAnsiTheme="minorHAnsi" w:cstheme="minorHAnsi"/>
          <w:sz w:val="22"/>
          <w:szCs w:val="22"/>
        </w:rPr>
        <w:t xml:space="preserve"> </w:t>
      </w:r>
      <w:r w:rsidRPr="008F12AD">
        <w:rPr>
          <w:rFonts w:asciiTheme="minorHAnsi" w:hAnsiTheme="minorHAnsi" w:cstheme="minorHAnsi"/>
          <w:sz w:val="22"/>
          <w:szCs w:val="22"/>
        </w:rPr>
        <w:t xml:space="preserve">Outpatient Unit Costs presents the estimated cost per outpatient visit, and include all cost components except drugs and diagnostics. Estimates </w:t>
      </w:r>
      <w:r w:rsidR="00E8122D" w:rsidRPr="008F12AD">
        <w:rPr>
          <w:rFonts w:asciiTheme="minorHAnsi" w:hAnsiTheme="minorHAnsi" w:cstheme="minorHAnsi"/>
          <w:sz w:val="22"/>
          <w:szCs w:val="22"/>
        </w:rPr>
        <w:t xml:space="preserve">are </w:t>
      </w:r>
      <w:r w:rsidRPr="008F12AD">
        <w:rPr>
          <w:rFonts w:asciiTheme="minorHAnsi" w:hAnsiTheme="minorHAnsi" w:cstheme="minorHAnsi"/>
          <w:sz w:val="22"/>
          <w:szCs w:val="22"/>
        </w:rPr>
        <w:t>in international dollars, local currency units and US$</w:t>
      </w:r>
      <w:r w:rsidR="00E8122D" w:rsidRPr="008F12AD">
        <w:rPr>
          <w:rFonts w:asciiTheme="minorHAnsi" w:hAnsiTheme="minorHAnsi" w:cstheme="minorHAnsi"/>
          <w:sz w:val="22"/>
          <w:szCs w:val="22"/>
        </w:rPr>
        <w:t xml:space="preserve"> for 2010. These estimates will be used to compare with the NHS costs estimated above</w:t>
      </w:r>
    </w:p>
    <w:p w14:paraId="6A15BB37" w14:textId="77777777" w:rsidR="00E8122D" w:rsidRPr="008F12AD" w:rsidRDefault="00E8122D" w:rsidP="00E8122D">
      <w:pPr>
        <w:rPr>
          <w:rFonts w:cstheme="minorHAnsi"/>
        </w:rPr>
      </w:pPr>
    </w:p>
    <w:p w14:paraId="5EBC1B29" w14:textId="3F6DDBE7" w:rsidR="00E8122D" w:rsidRPr="008F12AD" w:rsidRDefault="00E8122D" w:rsidP="00E8122D">
      <w:pPr>
        <w:rPr>
          <w:rFonts w:cstheme="minorHAnsi"/>
          <w:b/>
        </w:rPr>
      </w:pPr>
      <w:r>
        <w:rPr>
          <w:rFonts w:cstheme="minorHAnsi"/>
          <w:b/>
        </w:rPr>
        <w:t xml:space="preserve">Pan European </w:t>
      </w:r>
      <w:r w:rsidRPr="008F12AD">
        <w:rPr>
          <w:rFonts w:cstheme="minorHAnsi"/>
          <w:b/>
        </w:rPr>
        <w:t>Analysis</w:t>
      </w:r>
    </w:p>
    <w:p w14:paraId="716AE4E2" w14:textId="5F83BBC6" w:rsidR="00E8122D" w:rsidRPr="008F12AD" w:rsidRDefault="00E8122D" w:rsidP="00E8122D">
      <w:pPr>
        <w:rPr>
          <w:rFonts w:cstheme="minorHAnsi"/>
        </w:rPr>
      </w:pPr>
      <w:r w:rsidRPr="008F12AD">
        <w:rPr>
          <w:rFonts w:cstheme="minorHAnsi"/>
        </w:rPr>
        <w:t xml:space="preserve">Once the costs are calculated as described above, comparisons will be made across countries and also pan European estimates will be calculated using standard random effect models. </w:t>
      </w:r>
      <w:r>
        <w:rPr>
          <w:rFonts w:cstheme="minorHAnsi"/>
        </w:rPr>
        <w:t>Costs using NHS costing methods will be compared with those using just the WHO-CHOICE method.</w:t>
      </w:r>
    </w:p>
    <w:p w14:paraId="45BC2628" w14:textId="77777777" w:rsidR="00E8122D" w:rsidRDefault="00E8122D">
      <w:pPr>
        <w:rPr>
          <w:rFonts w:cstheme="minorHAnsi"/>
        </w:rPr>
      </w:pPr>
    </w:p>
    <w:p w14:paraId="3F5E2119" w14:textId="4A83579F" w:rsidR="00E8122D" w:rsidRPr="008F12AD" w:rsidRDefault="00E8122D">
      <w:pPr>
        <w:rPr>
          <w:rFonts w:cstheme="minorHAnsi"/>
          <w:b/>
        </w:rPr>
      </w:pPr>
      <w:r w:rsidRPr="008F12AD">
        <w:rPr>
          <w:rFonts w:cstheme="minorHAnsi"/>
          <w:b/>
        </w:rPr>
        <w:t>References</w:t>
      </w:r>
    </w:p>
    <w:p w14:paraId="2BC54275" w14:textId="77777777" w:rsidR="00E8122D" w:rsidRDefault="00E8122D">
      <w:pPr>
        <w:rPr>
          <w:rFonts w:cstheme="minorHAnsi"/>
        </w:rPr>
      </w:pPr>
    </w:p>
    <w:p w14:paraId="61394A88" w14:textId="3BAD3018" w:rsidR="00A3683D" w:rsidRPr="00A3683D" w:rsidRDefault="00E8122D" w:rsidP="008F12AD">
      <w:pPr>
        <w:pStyle w:val="EndNoteBibliography"/>
        <w:ind w:left="720" w:hanging="720"/>
        <w:jc w:val="left"/>
      </w:pPr>
      <w:r>
        <w:rPr>
          <w:rFonts w:cstheme="minorHAnsi"/>
        </w:rPr>
        <w:fldChar w:fldCharType="begin"/>
      </w:r>
      <w:r>
        <w:rPr>
          <w:rFonts w:cstheme="minorHAnsi"/>
        </w:rPr>
        <w:instrText xml:space="preserve"> ADDIN EN.REFLIST </w:instrText>
      </w:r>
      <w:r>
        <w:rPr>
          <w:rFonts w:cstheme="minorHAnsi"/>
        </w:rPr>
        <w:fldChar w:fldCharType="separate"/>
      </w:r>
      <w:r w:rsidR="00A3683D" w:rsidRPr="00A3683D">
        <w:t>1.</w:t>
      </w:r>
      <w:r w:rsidR="00A3683D" w:rsidRPr="00A3683D">
        <w:tab/>
        <w:t>J., B</w:t>
      </w:r>
      <w:r w:rsidR="008F12AD">
        <w:t>arker</w:t>
      </w:r>
      <w:r w:rsidR="00A3683D" w:rsidRPr="00A3683D">
        <w:t xml:space="preserve">., </w:t>
      </w:r>
      <w:r w:rsidR="00A3683D" w:rsidRPr="00A3683D">
        <w:rPr>
          <w:i/>
        </w:rPr>
        <w:t>Interactive complexity and comorbidity splits in Health Resource Group 4+.</w:t>
      </w:r>
      <w:r w:rsidR="00A3683D" w:rsidRPr="00A3683D">
        <w:t xml:space="preserve"> British Journal of Healthcare Management, 2015. </w:t>
      </w:r>
      <w:r w:rsidR="00A3683D" w:rsidRPr="00A3683D">
        <w:rPr>
          <w:b/>
        </w:rPr>
        <w:t>21</w:t>
      </w:r>
      <w:r w:rsidR="00A3683D" w:rsidRPr="00A3683D">
        <w:t>(9): p. 433-439.</w:t>
      </w:r>
    </w:p>
    <w:p w14:paraId="5B589C6A" w14:textId="77777777" w:rsidR="00A3683D" w:rsidRPr="00A3683D" w:rsidRDefault="00A3683D" w:rsidP="008F12AD">
      <w:pPr>
        <w:pStyle w:val="EndNoteBibliography"/>
        <w:ind w:left="720" w:hanging="720"/>
        <w:jc w:val="left"/>
      </w:pPr>
      <w:r w:rsidRPr="00A3683D">
        <w:t>2.</w:t>
      </w:r>
      <w:r w:rsidRPr="00A3683D">
        <w:tab/>
        <w:t xml:space="preserve">Stenberg, K., et al., </w:t>
      </w:r>
      <w:r w:rsidRPr="00A3683D">
        <w:rPr>
          <w:i/>
        </w:rPr>
        <w:t>Econometric estimation of WHO-CHOICE country-specific costs for inpatient and outpatient health service delivery.</w:t>
      </w:r>
      <w:r w:rsidRPr="00A3683D">
        <w:t xml:space="preserve"> Cost Effectiveness and Resource Allocation, 2018. </w:t>
      </w:r>
      <w:r w:rsidRPr="00A3683D">
        <w:rPr>
          <w:b/>
        </w:rPr>
        <w:t>16</w:t>
      </w:r>
      <w:r w:rsidRPr="00A3683D">
        <w:t>(1): p. 11.</w:t>
      </w:r>
    </w:p>
    <w:p w14:paraId="082151E4" w14:textId="02E4ABBC" w:rsidR="00E8122D" w:rsidRPr="00E8122D" w:rsidRDefault="00E8122D" w:rsidP="008F12AD">
      <w:pPr>
        <w:ind w:left="720" w:hanging="720"/>
        <w:rPr>
          <w:rFonts w:cstheme="minorHAnsi"/>
        </w:rPr>
      </w:pPr>
      <w:r>
        <w:rPr>
          <w:rFonts w:cstheme="minorHAnsi"/>
        </w:rPr>
        <w:lastRenderedPageBreak/>
        <w:fldChar w:fldCharType="end"/>
      </w:r>
      <w:r w:rsidR="00A3683D">
        <w:t xml:space="preserve">3. </w:t>
      </w:r>
      <w:r w:rsidR="00A3683D">
        <w:tab/>
      </w:r>
      <w:r w:rsidRPr="00E8122D">
        <w:rPr>
          <w:rFonts w:cstheme="minorHAnsi"/>
        </w:rPr>
        <w:t xml:space="preserve">Department of Health (2014a) NHS Reference Costs Publications. Available at: https://www.gov.uk/government/collections/nhs-reference-costs </w:t>
      </w:r>
      <w:r>
        <w:rPr>
          <w:rFonts w:cstheme="minorHAnsi"/>
        </w:rPr>
        <w:t xml:space="preserve"> </w:t>
      </w:r>
    </w:p>
    <w:p w14:paraId="014F3CEC" w14:textId="199CEE84" w:rsidR="00E8122D" w:rsidRPr="00E8122D" w:rsidRDefault="00A3683D" w:rsidP="008F12AD">
      <w:pPr>
        <w:ind w:left="720" w:hanging="720"/>
        <w:rPr>
          <w:rFonts w:cstheme="minorHAnsi"/>
        </w:rPr>
      </w:pPr>
      <w:r>
        <w:rPr>
          <w:rFonts w:cstheme="minorHAnsi"/>
        </w:rPr>
        <w:t xml:space="preserve">4. </w:t>
      </w:r>
      <w:r>
        <w:rPr>
          <w:rFonts w:cstheme="minorHAnsi"/>
        </w:rPr>
        <w:tab/>
      </w:r>
      <w:r w:rsidR="00E8122D" w:rsidRPr="00E8122D">
        <w:rPr>
          <w:rFonts w:cstheme="minorHAnsi"/>
        </w:rPr>
        <w:t xml:space="preserve">Department of Health (2014b) NHS Reference Costs 2013/14 Publication, Organisation Level Source Data Part 3—Spells. Available at: https://www.gov.uk/government/publications/nhs-reference-costs-2013-to-2014  </w:t>
      </w:r>
      <w:r w:rsidR="00E8122D">
        <w:rPr>
          <w:rFonts w:cstheme="minorHAnsi"/>
        </w:rPr>
        <w:t xml:space="preserve"> </w:t>
      </w:r>
    </w:p>
    <w:p w14:paraId="57E0D9D6" w14:textId="3476FFAB" w:rsidR="00E8122D" w:rsidRPr="00E8122D" w:rsidRDefault="00A3683D" w:rsidP="008F12AD">
      <w:pPr>
        <w:ind w:left="720" w:hanging="720"/>
        <w:rPr>
          <w:rFonts w:cstheme="minorHAnsi"/>
        </w:rPr>
      </w:pPr>
      <w:r>
        <w:rPr>
          <w:rFonts w:cstheme="minorHAnsi"/>
        </w:rPr>
        <w:t xml:space="preserve">5. </w:t>
      </w:r>
      <w:r>
        <w:rPr>
          <w:rFonts w:cstheme="minorHAnsi"/>
        </w:rPr>
        <w:tab/>
      </w:r>
      <w:r w:rsidR="00E8122D" w:rsidRPr="00E8122D">
        <w:rPr>
          <w:rFonts w:cstheme="minorHAnsi"/>
        </w:rPr>
        <w:t xml:space="preserve">Health and Social Care Information Centre (2015a) HRG4+ 2013/14 Reference Costs Grouper Documentation. Available at: www.hscic.gov.uk/article/6227/Costing </w:t>
      </w:r>
      <w:r>
        <w:rPr>
          <w:rFonts w:cstheme="minorHAnsi"/>
        </w:rPr>
        <w:t xml:space="preserve"> </w:t>
      </w:r>
    </w:p>
    <w:p w14:paraId="6811D81C" w14:textId="543B1910" w:rsidR="00E8122D" w:rsidRPr="00E8122D" w:rsidRDefault="00A3683D" w:rsidP="008F12AD">
      <w:pPr>
        <w:ind w:left="720" w:hanging="720"/>
        <w:rPr>
          <w:rFonts w:cstheme="minorHAnsi"/>
        </w:rPr>
      </w:pPr>
      <w:r>
        <w:rPr>
          <w:rFonts w:cstheme="minorHAnsi"/>
        </w:rPr>
        <w:t xml:space="preserve">6. </w:t>
      </w:r>
      <w:r>
        <w:rPr>
          <w:rFonts w:cstheme="minorHAnsi"/>
        </w:rPr>
        <w:tab/>
      </w:r>
      <w:r w:rsidR="00E8122D" w:rsidRPr="00E8122D">
        <w:rPr>
          <w:rFonts w:cstheme="minorHAnsi"/>
        </w:rPr>
        <w:t xml:space="preserve">Health and Social Care Information Centre (2015b) HRG4+ 2012/13 Reference Costs Grouper Documentation. Available at: www.hscic.gov.uk/article/4698/HRG4-201213-Reference-Costs-Grouper-and-Documentation </w:t>
      </w:r>
      <w:r>
        <w:rPr>
          <w:rFonts w:cstheme="minorHAnsi"/>
        </w:rPr>
        <w:t xml:space="preserve"> </w:t>
      </w:r>
      <w:r w:rsidR="00E8122D" w:rsidRPr="00E8122D">
        <w:rPr>
          <w:rFonts w:cstheme="minorHAnsi"/>
        </w:rPr>
        <w:t xml:space="preserve"> </w:t>
      </w:r>
      <w:r w:rsidR="00E8122D">
        <w:rPr>
          <w:rFonts w:cstheme="minorHAnsi"/>
        </w:rPr>
        <w:t xml:space="preserve"> </w:t>
      </w:r>
    </w:p>
    <w:p w14:paraId="0F9C88A9" w14:textId="7A3D61C3" w:rsidR="00E8122D" w:rsidRPr="00E8122D" w:rsidRDefault="00A3683D" w:rsidP="008F12AD">
      <w:pPr>
        <w:ind w:left="720" w:hanging="720"/>
        <w:rPr>
          <w:rFonts w:cstheme="minorHAnsi"/>
        </w:rPr>
      </w:pPr>
      <w:r>
        <w:rPr>
          <w:rFonts w:cstheme="minorHAnsi"/>
        </w:rPr>
        <w:t xml:space="preserve">7. </w:t>
      </w:r>
      <w:r>
        <w:rPr>
          <w:rFonts w:cstheme="minorHAnsi"/>
        </w:rPr>
        <w:tab/>
      </w:r>
      <w:r w:rsidR="00E8122D" w:rsidRPr="00E8122D">
        <w:rPr>
          <w:rFonts w:cstheme="minorHAnsi"/>
        </w:rPr>
        <w:t xml:space="preserve">Health and Social Care Information Centre (2015c) HRG4 2014/15 Payment Grouper Documentation. Available at: www.hscic.gov.uk/article/3938/HRG4-201415-Payment-Grouper </w:t>
      </w:r>
      <w:r>
        <w:rPr>
          <w:rFonts w:cstheme="minorHAnsi"/>
        </w:rPr>
        <w:t xml:space="preserve"> </w:t>
      </w:r>
      <w:r w:rsidR="00E8122D" w:rsidRPr="00E8122D">
        <w:rPr>
          <w:rFonts w:cstheme="minorHAnsi"/>
        </w:rPr>
        <w:t xml:space="preserve"> </w:t>
      </w:r>
      <w:r w:rsidR="00E8122D">
        <w:rPr>
          <w:rFonts w:cstheme="minorHAnsi"/>
        </w:rPr>
        <w:t xml:space="preserve"> </w:t>
      </w:r>
    </w:p>
    <w:p w14:paraId="387E3793" w14:textId="1FDC65B6" w:rsidR="006C2964" w:rsidRPr="008F12AD" w:rsidRDefault="00A3683D" w:rsidP="008F12AD">
      <w:pPr>
        <w:ind w:left="720" w:hanging="720"/>
        <w:rPr>
          <w:rFonts w:cstheme="minorHAnsi"/>
        </w:rPr>
      </w:pPr>
      <w:r>
        <w:rPr>
          <w:rFonts w:cstheme="minorHAnsi"/>
        </w:rPr>
        <w:t xml:space="preserve">8. </w:t>
      </w:r>
      <w:r>
        <w:rPr>
          <w:rFonts w:cstheme="minorHAnsi"/>
        </w:rPr>
        <w:tab/>
      </w:r>
      <w:r w:rsidR="00E8122D" w:rsidRPr="00E8122D">
        <w:rPr>
          <w:rFonts w:cstheme="minorHAnsi"/>
        </w:rPr>
        <w:t xml:space="preserve">Health and Social Care Information Centre (2015d) HRG4 2015/16 Payment Grouper Documentation. Available at: www.hscic.gov.uk/article/6103/HRG4-201516-Local-Payment-Grouper </w:t>
      </w:r>
      <w:r>
        <w:rPr>
          <w:rFonts w:cstheme="minorHAnsi"/>
        </w:rPr>
        <w:t xml:space="preserve"> </w:t>
      </w:r>
      <w:r w:rsidR="00E8122D" w:rsidRPr="00E8122D">
        <w:rPr>
          <w:rFonts w:cstheme="minorHAnsi"/>
        </w:rPr>
        <w:t xml:space="preserve"> </w:t>
      </w:r>
      <w:r w:rsidR="00E8122D">
        <w:rPr>
          <w:rFonts w:cstheme="minorHAnsi"/>
        </w:rPr>
        <w:t xml:space="preserve"> </w:t>
      </w:r>
    </w:p>
    <w:sectPr w:rsidR="006C2964" w:rsidRPr="008F1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EEB"/>
    <w:multiLevelType w:val="multilevel"/>
    <w:tmpl w:val="A38EFE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0ev2ppe22spez295xs9doewttzzdwdtpx&quot;&gt;Library 2016&lt;record-ids&gt;&lt;item&gt;3445&lt;/item&gt;&lt;item&gt;3446&lt;/item&gt;&lt;/record-ids&gt;&lt;/item&gt;&lt;/Libraries&gt;"/>
  </w:docVars>
  <w:rsids>
    <w:rsidRoot w:val="000E5C63"/>
    <w:rsid w:val="00034987"/>
    <w:rsid w:val="000E5C63"/>
    <w:rsid w:val="00125197"/>
    <w:rsid w:val="0013784B"/>
    <w:rsid w:val="001871FB"/>
    <w:rsid w:val="001B20A1"/>
    <w:rsid w:val="001C674F"/>
    <w:rsid w:val="001D0FAB"/>
    <w:rsid w:val="002472D0"/>
    <w:rsid w:val="00275FFB"/>
    <w:rsid w:val="002C37BA"/>
    <w:rsid w:val="00313013"/>
    <w:rsid w:val="00325F51"/>
    <w:rsid w:val="00333C98"/>
    <w:rsid w:val="00342363"/>
    <w:rsid w:val="00347974"/>
    <w:rsid w:val="00360DF9"/>
    <w:rsid w:val="00425B55"/>
    <w:rsid w:val="00497123"/>
    <w:rsid w:val="004A1C2E"/>
    <w:rsid w:val="00547435"/>
    <w:rsid w:val="005B6D3B"/>
    <w:rsid w:val="0067465B"/>
    <w:rsid w:val="006C2964"/>
    <w:rsid w:val="007051B1"/>
    <w:rsid w:val="00711AEB"/>
    <w:rsid w:val="0074566E"/>
    <w:rsid w:val="00790EC8"/>
    <w:rsid w:val="007B6B0F"/>
    <w:rsid w:val="007D5E9F"/>
    <w:rsid w:val="00857CB6"/>
    <w:rsid w:val="0087449C"/>
    <w:rsid w:val="008E4F9B"/>
    <w:rsid w:val="008F12AD"/>
    <w:rsid w:val="0091499E"/>
    <w:rsid w:val="009F1D50"/>
    <w:rsid w:val="009F21DE"/>
    <w:rsid w:val="00A3683D"/>
    <w:rsid w:val="00AD65C0"/>
    <w:rsid w:val="00AF5206"/>
    <w:rsid w:val="00B4776A"/>
    <w:rsid w:val="00B5776F"/>
    <w:rsid w:val="00B8517D"/>
    <w:rsid w:val="00C5063B"/>
    <w:rsid w:val="00CF53B2"/>
    <w:rsid w:val="00D55411"/>
    <w:rsid w:val="00E8122D"/>
    <w:rsid w:val="00EB3514"/>
    <w:rsid w:val="00EB585E"/>
    <w:rsid w:val="00EE2F89"/>
    <w:rsid w:val="00F02848"/>
    <w:rsid w:val="00F5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BCC1"/>
  <w15:chartTrackingRefBased/>
  <w15:docId w15:val="{30100733-33FF-4AC2-80DE-B18DF521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FAB"/>
  </w:style>
  <w:style w:type="paragraph" w:styleId="Heading1">
    <w:name w:val="heading 1"/>
    <w:basedOn w:val="Normal"/>
    <w:next w:val="Normal"/>
    <w:link w:val="Heading1Char"/>
    <w:uiPriority w:val="9"/>
    <w:qFormat/>
    <w:rsid w:val="001D0FAB"/>
    <w:pPr>
      <w:keepNext/>
      <w:keepLines/>
      <w:numPr>
        <w:numId w:val="9"/>
      </w:numPr>
      <w:spacing w:before="480" w:line="240" w:lineRule="auto"/>
      <w:outlineLvl w:val="0"/>
    </w:pPr>
    <w:rPr>
      <w:rFonts w:asciiTheme="majorHAnsi" w:eastAsiaTheme="majorEastAsia" w:hAnsiTheme="majorHAnsi" w:cstheme="majorBidi"/>
      <w:b/>
      <w:bCs/>
      <w:color w:val="2D4F8E" w:themeColor="accent1" w:themeShade="B5"/>
      <w:sz w:val="28"/>
      <w:szCs w:val="32"/>
      <w:lang w:val="en-US"/>
    </w:rPr>
  </w:style>
  <w:style w:type="paragraph" w:styleId="Heading2">
    <w:name w:val="heading 2"/>
    <w:basedOn w:val="Normal"/>
    <w:next w:val="Normal"/>
    <w:link w:val="Heading2Char"/>
    <w:uiPriority w:val="9"/>
    <w:unhideWhenUsed/>
    <w:qFormat/>
    <w:rsid w:val="001D0FAB"/>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0FAB"/>
    <w:pPr>
      <w:keepNext/>
      <w:keepLines/>
      <w:numPr>
        <w:ilvl w:val="2"/>
        <w:numId w:val="9"/>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D0FAB"/>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0FAB"/>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0FAB"/>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0FAB"/>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0FA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0FA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0FAB"/>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D0FAB"/>
    <w:rPr>
      <w:rFonts w:ascii="Calibri" w:hAnsi="Calibri" w:cs="Calibri"/>
      <w:noProof/>
      <w:lang w:val="en-US"/>
    </w:rPr>
  </w:style>
  <w:style w:type="paragraph" w:customStyle="1" w:styleId="EndNoteBibliography">
    <w:name w:val="EndNote Bibliography"/>
    <w:basedOn w:val="Normal"/>
    <w:link w:val="EndNoteBibliographyChar"/>
    <w:rsid w:val="001D0FAB"/>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1D0FAB"/>
    <w:rPr>
      <w:rFonts w:ascii="Calibri" w:hAnsi="Calibri" w:cs="Calibri"/>
      <w:noProof/>
      <w:lang w:val="en-US"/>
    </w:rPr>
  </w:style>
  <w:style w:type="table" w:customStyle="1" w:styleId="TableGrid1">
    <w:name w:val="Table Grid1"/>
    <w:basedOn w:val="TableNormal"/>
    <w:next w:val="TableGrid"/>
    <w:uiPriority w:val="39"/>
    <w:rsid w:val="001D0FAB"/>
    <w:pPr>
      <w:spacing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0FAB"/>
    <w:pPr>
      <w:spacing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0FAB"/>
    <w:pPr>
      <w:spacing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FAB"/>
    <w:rPr>
      <w:rFonts w:asciiTheme="majorHAnsi" w:eastAsiaTheme="majorEastAsia" w:hAnsiTheme="majorHAnsi" w:cstheme="majorBidi"/>
      <w:b/>
      <w:bCs/>
      <w:color w:val="2D4F8E" w:themeColor="accent1" w:themeShade="B5"/>
      <w:sz w:val="28"/>
      <w:szCs w:val="32"/>
      <w:lang w:val="en-US"/>
    </w:rPr>
  </w:style>
  <w:style w:type="character" w:customStyle="1" w:styleId="Heading2Char">
    <w:name w:val="Heading 2 Char"/>
    <w:basedOn w:val="DefaultParagraphFont"/>
    <w:link w:val="Heading2"/>
    <w:uiPriority w:val="9"/>
    <w:rsid w:val="001D0F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0F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D0F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D0F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0F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0F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0F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0FAB"/>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qFormat/>
    <w:rsid w:val="001D0FAB"/>
    <w:pPr>
      <w:spacing w:after="100"/>
    </w:pPr>
  </w:style>
  <w:style w:type="paragraph" w:styleId="TOC2">
    <w:name w:val="toc 2"/>
    <w:basedOn w:val="Normal"/>
    <w:next w:val="Normal"/>
    <w:autoRedefine/>
    <w:uiPriority w:val="39"/>
    <w:unhideWhenUsed/>
    <w:qFormat/>
    <w:rsid w:val="001D0FAB"/>
    <w:pPr>
      <w:spacing w:after="100"/>
      <w:ind w:left="220"/>
    </w:pPr>
  </w:style>
  <w:style w:type="paragraph" w:styleId="TOC3">
    <w:name w:val="toc 3"/>
    <w:basedOn w:val="Normal"/>
    <w:next w:val="Normal"/>
    <w:autoRedefine/>
    <w:uiPriority w:val="39"/>
    <w:unhideWhenUsed/>
    <w:qFormat/>
    <w:rsid w:val="001D0FAB"/>
    <w:pPr>
      <w:spacing w:after="100"/>
      <w:ind w:left="440"/>
    </w:pPr>
  </w:style>
  <w:style w:type="paragraph" w:styleId="FootnoteText">
    <w:name w:val="footnote text"/>
    <w:basedOn w:val="Normal"/>
    <w:link w:val="FootnoteTextChar"/>
    <w:rsid w:val="001D0FAB"/>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D0FAB"/>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1D0FAB"/>
    <w:pPr>
      <w:spacing w:line="240" w:lineRule="auto"/>
    </w:pPr>
    <w:rPr>
      <w:sz w:val="20"/>
      <w:szCs w:val="20"/>
    </w:rPr>
  </w:style>
  <w:style w:type="character" w:customStyle="1" w:styleId="CommentTextChar">
    <w:name w:val="Comment Text Char"/>
    <w:basedOn w:val="DefaultParagraphFont"/>
    <w:link w:val="CommentText"/>
    <w:uiPriority w:val="99"/>
    <w:semiHidden/>
    <w:rsid w:val="001D0FAB"/>
    <w:rPr>
      <w:sz w:val="20"/>
      <w:szCs w:val="20"/>
    </w:rPr>
  </w:style>
  <w:style w:type="paragraph" w:styleId="Header">
    <w:name w:val="header"/>
    <w:basedOn w:val="Normal"/>
    <w:link w:val="HeaderChar"/>
    <w:uiPriority w:val="99"/>
    <w:unhideWhenUsed/>
    <w:rsid w:val="001D0FAB"/>
    <w:pPr>
      <w:tabs>
        <w:tab w:val="center" w:pos="4513"/>
        <w:tab w:val="right" w:pos="9026"/>
      </w:tabs>
      <w:spacing w:line="240" w:lineRule="auto"/>
    </w:pPr>
  </w:style>
  <w:style w:type="character" w:customStyle="1" w:styleId="HeaderChar">
    <w:name w:val="Header Char"/>
    <w:basedOn w:val="DefaultParagraphFont"/>
    <w:link w:val="Header"/>
    <w:uiPriority w:val="99"/>
    <w:rsid w:val="001D0FAB"/>
  </w:style>
  <w:style w:type="paragraph" w:styleId="Footer">
    <w:name w:val="footer"/>
    <w:basedOn w:val="Normal"/>
    <w:link w:val="FooterChar"/>
    <w:uiPriority w:val="99"/>
    <w:unhideWhenUsed/>
    <w:rsid w:val="001D0FAB"/>
    <w:pPr>
      <w:tabs>
        <w:tab w:val="center" w:pos="4513"/>
        <w:tab w:val="right" w:pos="9026"/>
      </w:tabs>
      <w:spacing w:line="240" w:lineRule="auto"/>
    </w:pPr>
  </w:style>
  <w:style w:type="character" w:customStyle="1" w:styleId="FooterChar">
    <w:name w:val="Footer Char"/>
    <w:basedOn w:val="DefaultParagraphFont"/>
    <w:link w:val="Footer"/>
    <w:uiPriority w:val="99"/>
    <w:rsid w:val="001D0FAB"/>
  </w:style>
  <w:style w:type="character" w:styleId="FootnoteReference">
    <w:name w:val="footnote reference"/>
    <w:basedOn w:val="DefaultParagraphFont"/>
    <w:rsid w:val="001D0FAB"/>
    <w:rPr>
      <w:rFonts w:cs="Times New Roman"/>
      <w:vertAlign w:val="superscript"/>
    </w:rPr>
  </w:style>
  <w:style w:type="character" w:styleId="CommentReference">
    <w:name w:val="annotation reference"/>
    <w:basedOn w:val="DefaultParagraphFont"/>
    <w:uiPriority w:val="99"/>
    <w:semiHidden/>
    <w:unhideWhenUsed/>
    <w:rsid w:val="001D0FAB"/>
    <w:rPr>
      <w:sz w:val="16"/>
      <w:szCs w:val="16"/>
    </w:rPr>
  </w:style>
  <w:style w:type="paragraph" w:styleId="Title">
    <w:name w:val="Title"/>
    <w:basedOn w:val="Normal"/>
    <w:next w:val="Normal"/>
    <w:link w:val="TitleChar"/>
    <w:uiPriority w:val="10"/>
    <w:qFormat/>
    <w:rsid w:val="001D0FA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FA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D0FAB"/>
    <w:rPr>
      <w:color w:val="0563C1" w:themeColor="hyperlink"/>
      <w:u w:val="single"/>
    </w:rPr>
  </w:style>
  <w:style w:type="paragraph" w:styleId="NormalWeb">
    <w:name w:val="Normal (Web)"/>
    <w:basedOn w:val="Normal"/>
    <w:uiPriority w:val="99"/>
    <w:unhideWhenUsed/>
    <w:rsid w:val="001D0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D0FAB"/>
    <w:rPr>
      <w:b/>
      <w:bCs/>
    </w:rPr>
  </w:style>
  <w:style w:type="character" w:customStyle="1" w:styleId="CommentSubjectChar">
    <w:name w:val="Comment Subject Char"/>
    <w:basedOn w:val="CommentTextChar"/>
    <w:link w:val="CommentSubject"/>
    <w:uiPriority w:val="99"/>
    <w:semiHidden/>
    <w:rsid w:val="001D0FAB"/>
    <w:rPr>
      <w:b/>
      <w:bCs/>
      <w:sz w:val="20"/>
      <w:szCs w:val="20"/>
    </w:rPr>
  </w:style>
  <w:style w:type="paragraph" w:styleId="BalloonText">
    <w:name w:val="Balloon Text"/>
    <w:basedOn w:val="Normal"/>
    <w:link w:val="BalloonTextChar"/>
    <w:uiPriority w:val="99"/>
    <w:semiHidden/>
    <w:unhideWhenUsed/>
    <w:rsid w:val="001D0F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AB"/>
    <w:rPr>
      <w:rFonts w:ascii="Segoe UI" w:hAnsi="Segoe UI" w:cs="Segoe UI"/>
      <w:sz w:val="18"/>
      <w:szCs w:val="18"/>
    </w:rPr>
  </w:style>
  <w:style w:type="paragraph" w:styleId="ListParagraph">
    <w:name w:val="List Paragraph"/>
    <w:basedOn w:val="Normal"/>
    <w:uiPriority w:val="34"/>
    <w:qFormat/>
    <w:rsid w:val="001D0FAB"/>
    <w:pPr>
      <w:ind w:left="720"/>
      <w:contextualSpacing/>
    </w:pPr>
  </w:style>
  <w:style w:type="paragraph" w:styleId="TOCHeading">
    <w:name w:val="TOC Heading"/>
    <w:basedOn w:val="Heading1"/>
    <w:next w:val="Normal"/>
    <w:uiPriority w:val="39"/>
    <w:semiHidden/>
    <w:unhideWhenUsed/>
    <w:qFormat/>
    <w:rsid w:val="001D0FAB"/>
    <w:pPr>
      <w:numPr>
        <w:numId w:val="0"/>
      </w:numPr>
      <w:spacing w:line="276" w:lineRule="auto"/>
      <w:outlineLvl w:val="9"/>
    </w:pPr>
    <w:rPr>
      <w:color w:val="2F5496" w:themeColor="accent1" w:themeShade="BF"/>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1793">
      <w:bodyDiv w:val="1"/>
      <w:marLeft w:val="0"/>
      <w:marRight w:val="0"/>
      <w:marTop w:val="0"/>
      <w:marBottom w:val="0"/>
      <w:divBdr>
        <w:top w:val="none" w:sz="0" w:space="0" w:color="auto"/>
        <w:left w:val="none" w:sz="0" w:space="0" w:color="auto"/>
        <w:bottom w:val="none" w:sz="0" w:space="0" w:color="auto"/>
        <w:right w:val="none" w:sz="0" w:space="0" w:color="auto"/>
      </w:divBdr>
    </w:div>
    <w:div w:id="104546417">
      <w:bodyDiv w:val="1"/>
      <w:marLeft w:val="0"/>
      <w:marRight w:val="0"/>
      <w:marTop w:val="0"/>
      <w:marBottom w:val="0"/>
      <w:divBdr>
        <w:top w:val="none" w:sz="0" w:space="0" w:color="auto"/>
        <w:left w:val="none" w:sz="0" w:space="0" w:color="auto"/>
        <w:bottom w:val="none" w:sz="0" w:space="0" w:color="auto"/>
        <w:right w:val="none" w:sz="0" w:space="0" w:color="auto"/>
      </w:divBdr>
    </w:div>
    <w:div w:id="110714193">
      <w:bodyDiv w:val="1"/>
      <w:marLeft w:val="0"/>
      <w:marRight w:val="0"/>
      <w:marTop w:val="0"/>
      <w:marBottom w:val="0"/>
      <w:divBdr>
        <w:top w:val="none" w:sz="0" w:space="0" w:color="auto"/>
        <w:left w:val="none" w:sz="0" w:space="0" w:color="auto"/>
        <w:bottom w:val="none" w:sz="0" w:space="0" w:color="auto"/>
        <w:right w:val="none" w:sz="0" w:space="0" w:color="auto"/>
      </w:divBdr>
    </w:div>
    <w:div w:id="239412759">
      <w:bodyDiv w:val="1"/>
      <w:marLeft w:val="0"/>
      <w:marRight w:val="0"/>
      <w:marTop w:val="0"/>
      <w:marBottom w:val="0"/>
      <w:divBdr>
        <w:top w:val="none" w:sz="0" w:space="0" w:color="auto"/>
        <w:left w:val="none" w:sz="0" w:space="0" w:color="auto"/>
        <w:bottom w:val="none" w:sz="0" w:space="0" w:color="auto"/>
        <w:right w:val="none" w:sz="0" w:space="0" w:color="auto"/>
      </w:divBdr>
    </w:div>
    <w:div w:id="255601846">
      <w:bodyDiv w:val="1"/>
      <w:marLeft w:val="0"/>
      <w:marRight w:val="0"/>
      <w:marTop w:val="0"/>
      <w:marBottom w:val="0"/>
      <w:divBdr>
        <w:top w:val="none" w:sz="0" w:space="0" w:color="auto"/>
        <w:left w:val="none" w:sz="0" w:space="0" w:color="auto"/>
        <w:bottom w:val="none" w:sz="0" w:space="0" w:color="auto"/>
        <w:right w:val="none" w:sz="0" w:space="0" w:color="auto"/>
      </w:divBdr>
    </w:div>
    <w:div w:id="352456509">
      <w:bodyDiv w:val="1"/>
      <w:marLeft w:val="0"/>
      <w:marRight w:val="0"/>
      <w:marTop w:val="0"/>
      <w:marBottom w:val="0"/>
      <w:divBdr>
        <w:top w:val="none" w:sz="0" w:space="0" w:color="auto"/>
        <w:left w:val="none" w:sz="0" w:space="0" w:color="auto"/>
        <w:bottom w:val="none" w:sz="0" w:space="0" w:color="auto"/>
        <w:right w:val="none" w:sz="0" w:space="0" w:color="auto"/>
      </w:divBdr>
    </w:div>
    <w:div w:id="410588877">
      <w:bodyDiv w:val="1"/>
      <w:marLeft w:val="0"/>
      <w:marRight w:val="0"/>
      <w:marTop w:val="0"/>
      <w:marBottom w:val="0"/>
      <w:divBdr>
        <w:top w:val="none" w:sz="0" w:space="0" w:color="auto"/>
        <w:left w:val="none" w:sz="0" w:space="0" w:color="auto"/>
        <w:bottom w:val="none" w:sz="0" w:space="0" w:color="auto"/>
        <w:right w:val="none" w:sz="0" w:space="0" w:color="auto"/>
      </w:divBdr>
    </w:div>
    <w:div w:id="672073050">
      <w:bodyDiv w:val="1"/>
      <w:marLeft w:val="0"/>
      <w:marRight w:val="0"/>
      <w:marTop w:val="0"/>
      <w:marBottom w:val="0"/>
      <w:divBdr>
        <w:top w:val="none" w:sz="0" w:space="0" w:color="auto"/>
        <w:left w:val="none" w:sz="0" w:space="0" w:color="auto"/>
        <w:bottom w:val="none" w:sz="0" w:space="0" w:color="auto"/>
        <w:right w:val="none" w:sz="0" w:space="0" w:color="auto"/>
      </w:divBdr>
    </w:div>
    <w:div w:id="1505509646">
      <w:bodyDiv w:val="1"/>
      <w:marLeft w:val="0"/>
      <w:marRight w:val="0"/>
      <w:marTop w:val="0"/>
      <w:marBottom w:val="0"/>
      <w:divBdr>
        <w:top w:val="none" w:sz="0" w:space="0" w:color="auto"/>
        <w:left w:val="none" w:sz="0" w:space="0" w:color="auto"/>
        <w:bottom w:val="none" w:sz="0" w:space="0" w:color="auto"/>
        <w:right w:val="none" w:sz="0" w:space="0" w:color="auto"/>
      </w:divBdr>
    </w:div>
    <w:div w:id="1796364376">
      <w:bodyDiv w:val="1"/>
      <w:marLeft w:val="0"/>
      <w:marRight w:val="0"/>
      <w:marTop w:val="0"/>
      <w:marBottom w:val="0"/>
      <w:divBdr>
        <w:top w:val="none" w:sz="0" w:space="0" w:color="auto"/>
        <w:left w:val="none" w:sz="0" w:space="0" w:color="auto"/>
        <w:bottom w:val="none" w:sz="0" w:space="0" w:color="auto"/>
        <w:right w:val="none" w:sz="0" w:space="0" w:color="auto"/>
      </w:divBdr>
    </w:div>
    <w:div w:id="17972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D9E7E856C0545B0E4A2B54B3F5DB1" ma:contentTypeVersion="13" ma:contentTypeDescription="Create a new document." ma:contentTypeScope="" ma:versionID="13ddb3965f63e2a6b788e5245bc7478c">
  <xsd:schema xmlns:xsd="http://www.w3.org/2001/XMLSchema" xmlns:xs="http://www.w3.org/2001/XMLSchema" xmlns:p="http://schemas.microsoft.com/office/2006/metadata/properties" xmlns:ns3="12873d90-0690-44cd-aca7-74b40ee9d085" xmlns:ns4="9118f8d3-b371-4b98-acd4-56e8829d967d" targetNamespace="http://schemas.microsoft.com/office/2006/metadata/properties" ma:root="true" ma:fieldsID="67d40ff66506645691945d84fed88c78" ns3:_="" ns4:_="">
    <xsd:import namespace="12873d90-0690-44cd-aca7-74b40ee9d085"/>
    <xsd:import namespace="9118f8d3-b371-4b98-acd4-56e8829d96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73d90-0690-44cd-aca7-74b40ee9d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8f8d3-b371-4b98-acd4-56e8829d9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338E-CFC4-4306-BDD1-C29CC6192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D3022-DC30-4B79-B017-B1B71C2FF2F9}">
  <ds:schemaRefs>
    <ds:schemaRef ds:uri="http://schemas.microsoft.com/sharepoint/v3/contenttype/forms"/>
  </ds:schemaRefs>
</ds:datastoreItem>
</file>

<file path=customXml/itemProps3.xml><?xml version="1.0" encoding="utf-8"?>
<ds:datastoreItem xmlns:ds="http://schemas.openxmlformats.org/officeDocument/2006/customXml" ds:itemID="{693C5341-A05E-4A8B-9036-620BF436F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73d90-0690-44cd-aca7-74b40ee9d085"/>
    <ds:schemaRef ds:uri="9118f8d3-b371-4b98-acd4-56e8829d9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E7DB0-CDF9-46C1-9B28-66E17E93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Morris</dc:creator>
  <cp:keywords/>
  <dc:description/>
  <cp:lastModifiedBy>H C</cp:lastModifiedBy>
  <cp:revision>3</cp:revision>
  <cp:lastPrinted>2020-04-01T18:27:00Z</cp:lastPrinted>
  <dcterms:created xsi:type="dcterms:W3CDTF">2020-04-07T17:18:00Z</dcterms:created>
  <dcterms:modified xsi:type="dcterms:W3CDTF">2020-04-08T14:36:00Z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0x01010025DD9E7E856C0545B0E4A2B54B3F5DB1</vt:lpwstr>
  </property>
</Properties>
</file>